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关于举办第十一届“挑战杯”湖北省大学生</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创业计划竞赛的通知</w:t>
      </w:r>
    </w:p>
    <w:p>
      <w:pPr>
        <w:pStyle w:val="4"/>
        <w:widowControl/>
        <w:spacing w:beforeAutospacing="0" w:afterAutospacing="0" w:line="560" w:lineRule="exact"/>
        <w:jc w:val="both"/>
        <w:rPr>
          <w:rFonts w:ascii="仿宋" w:hAnsi="仿宋" w:eastAsia="仿宋" w:cs="仿宋"/>
          <w:sz w:val="32"/>
          <w:szCs w:val="32"/>
        </w:rPr>
      </w:pP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各市、州、直管市团委，教育局、人社局、科协、学联，各学校团委、科协、学生会（研究生会），省直机关团工委：</w:t>
      </w:r>
    </w:p>
    <w:p>
      <w:pPr>
        <w:pStyle w:val="4"/>
        <w:widowControl/>
        <w:spacing w:beforeAutospacing="0" w:afterAutospacing="0" w:line="560" w:lineRule="exact"/>
        <w:ind w:firstLine="65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贯彻落实国家双创工作部署，进一步聚焦为党育人功能，引导和激励青年学生通过广泛的社会实践、深刻的社会观察，不断增强对国情社情的了解，激发创新精神，培育创业意识，提升社会化能力，有效搭建青年学生创新创业平台，发现、培育和选树创新创业人才，助力湖北经济疫后重振，第十一届“挑战杯”湖北省大学生创业计划竞赛将于近期启动。现将大赛有关事项通知如下：</w:t>
      </w:r>
    </w:p>
    <w:p>
      <w:pPr>
        <w:pStyle w:val="4"/>
        <w:widowControl/>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一、举办单位</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主办单位：共青团湖北省委、湖北省教育厅、湖北省人力资源和社会保障厅、湖北省科学技术协会、湖北省学生联合会</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承办单位：湖北工业大学</w:t>
      </w:r>
    </w:p>
    <w:p>
      <w:pPr>
        <w:pStyle w:val="4"/>
        <w:widowControl/>
        <w:spacing w:beforeAutospacing="0" w:afterAutospacing="0" w:line="560" w:lineRule="exact"/>
        <w:ind w:firstLine="640"/>
        <w:jc w:val="both"/>
        <w:rPr>
          <w:rFonts w:ascii="仿宋" w:hAnsi="仿宋" w:eastAsia="仿宋" w:cs="仿宋"/>
          <w:sz w:val="32"/>
          <w:szCs w:val="32"/>
        </w:rPr>
      </w:pPr>
      <w:r>
        <w:rPr>
          <w:rFonts w:hint="eastAsia" w:ascii="黑体" w:hAnsi="黑体" w:eastAsia="黑体" w:cs="黑体"/>
          <w:sz w:val="32"/>
          <w:szCs w:val="32"/>
        </w:rPr>
        <w:t>二、参赛对象</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1.普通高校学生：2020年6月1日以前正式注册的全日制非成人教育的普通高等学校在校专科生、本科生、硕士研究生（不含在职研究生）。</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硕博连读生、直接攻读博士生若在举办大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pStyle w:val="4"/>
        <w:widowControl/>
        <w:spacing w:beforeAutospacing="0" w:afterAutospacing="0" w:line="560" w:lineRule="exact"/>
        <w:ind w:firstLine="640"/>
        <w:jc w:val="both"/>
        <w:rPr>
          <w:rFonts w:ascii="仿宋" w:hAnsi="仿宋" w:eastAsia="仿宋" w:cs="仿宋"/>
          <w:sz w:val="32"/>
          <w:szCs w:val="32"/>
        </w:rPr>
      </w:pPr>
      <w:r>
        <w:rPr>
          <w:rFonts w:hint="eastAsia" w:ascii="仿宋_GB2312" w:hAnsi="仿宋_GB2312" w:eastAsia="仿宋_GB2312" w:cs="仿宋_GB2312"/>
          <w:sz w:val="32"/>
          <w:szCs w:val="32"/>
        </w:rPr>
        <w:t>2.职业院校学生：2020年6月1日以前正式注册的全日制职业教育本科、高职高专和中职中专在校学生。</w:t>
      </w:r>
    </w:p>
    <w:p>
      <w:pPr>
        <w:pStyle w:val="4"/>
        <w:widowControl/>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rPr>
        <w:t>三、赛事安排</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1.大赛分组。</w:t>
      </w:r>
      <w:r>
        <w:rPr>
          <w:rFonts w:hint="eastAsia" w:ascii="仿宋_GB2312" w:hAnsi="仿宋_GB2312" w:eastAsia="仿宋_GB2312" w:cs="仿宋_GB2312"/>
          <w:sz w:val="32"/>
          <w:szCs w:val="32"/>
        </w:rPr>
        <w:t>聚焦创新、协调、绿色、开放、共享五大发展理念和2020年决战脱贫攻坚、决胜全面小康的目标，设置五个组别。</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——科技创新和未来产业：突出科技创新，在人工智能、网络信息、生命科学、新材料、新能源等领域，结合实践观察设计项目。</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——乡村振兴和脱贫攻坚：围绕实施乡村振兴战略和打赢脱贫攻坚战，在农林牧渔、电子商务、旅游休闲等领域，结合实践观察设计项目。　</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——城市治理和社会服务：围绕国家治理体系和治理能力现代化建设，在政务服务、消费生活、医疗服务、教育培训、交通物流、金融服务等领域，结合实践观察设计项目。 </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——生态环保和可持续发展：围绕可持续发展战略，在环境治理、可持续资源开发、生态环保、清洁能源应用等领域，结合实践观察设计项目。</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文化创意和区域合作：突出共融、共享，紧密围绕“一带一路”“长三角”等经济合作带建设，在工艺与设计、动漫广告、体育竞技和国际文化传播、对外交流培训、对外经贸等领域，结合实践观察设计项目。</w:t>
      </w:r>
    </w:p>
    <w:p>
      <w:pPr>
        <w:pStyle w:val="4"/>
        <w:widowControl/>
        <w:numPr>
          <w:ilvl w:val="0"/>
          <w:numId w:val="0"/>
        </w:numPr>
        <w:spacing w:beforeAutospacing="0" w:afterAutospacing="0" w:line="560" w:lineRule="exact"/>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2.</w:t>
      </w:r>
      <w:r>
        <w:rPr>
          <w:rFonts w:hint="eastAsia" w:ascii="楷体_GB2312" w:hAnsi="楷体_GB2312" w:eastAsia="楷体_GB2312" w:cs="楷体_GB2312"/>
          <w:sz w:val="32"/>
          <w:szCs w:val="32"/>
        </w:rPr>
        <w:t>大赛分类：</w:t>
      </w:r>
      <w:r>
        <w:rPr>
          <w:rFonts w:hint="eastAsia" w:ascii="仿宋_GB2312" w:hAnsi="仿宋_GB2312" w:eastAsia="仿宋_GB2312" w:cs="仿宋_GB2312"/>
          <w:sz w:val="32"/>
          <w:szCs w:val="32"/>
        </w:rPr>
        <w:t>普通院校和职业院校分别进行竞赛评选。</w:t>
      </w:r>
    </w:p>
    <w:p>
      <w:pPr>
        <w:pStyle w:val="4"/>
        <w:widowControl/>
        <w:numPr>
          <w:ilvl w:val="0"/>
          <w:numId w:val="0"/>
        </w:numPr>
        <w:spacing w:beforeAutospacing="0" w:afterAutospacing="0" w:line="560" w:lineRule="exact"/>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3.</w:t>
      </w:r>
      <w:r>
        <w:rPr>
          <w:rFonts w:hint="eastAsia" w:ascii="楷体_GB2312" w:hAnsi="楷体_GB2312" w:eastAsia="楷体_GB2312" w:cs="楷体_GB2312"/>
          <w:sz w:val="32"/>
          <w:szCs w:val="32"/>
        </w:rPr>
        <w:t>评审要点：</w:t>
      </w:r>
      <w:r>
        <w:rPr>
          <w:rFonts w:hint="eastAsia" w:ascii="仿宋_GB2312" w:hAnsi="仿宋_GB2312" w:eastAsia="仿宋_GB2312" w:cs="仿宋_GB2312"/>
          <w:sz w:val="32"/>
          <w:szCs w:val="32"/>
        </w:rPr>
        <w:t>突出实践导向，在考察项目商业价值的基础上，更加注重考察学生了解社会现状、关注社会民生、解决社会问题的意识、能力和水平。具体包括项目的社会价值、实践过程、创新意义、发展前景和团队协作等方面。</w:t>
      </w:r>
    </w:p>
    <w:p>
      <w:pPr>
        <w:pStyle w:val="4"/>
        <w:widowControl/>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四、推进步骤</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大赛分校级初赛、全省复赛、全省决赛三个阶段进行。按照疫情防控要求，省赛将通过全国大赛官方平台，采取线上形式进行。校级赛事由各学校结合实际，采取合适方式进行。</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lang w:val="en-US" w:eastAsia="zh-CN"/>
        </w:rPr>
        <w:t>1.校级初赛（7月31日前）</w:t>
      </w:r>
      <w:r>
        <w:rPr>
          <w:rFonts w:hint="eastAsia" w:ascii="仿宋" w:hAnsi="仿宋" w:eastAsia="仿宋" w:cs="仿宋"/>
          <w:sz w:val="32"/>
          <w:szCs w:val="32"/>
        </w:rPr>
        <w:t>：</w:t>
      </w:r>
      <w:r>
        <w:rPr>
          <w:rFonts w:hint="eastAsia" w:ascii="仿宋_GB2312" w:hAnsi="仿宋_GB2312" w:eastAsia="仿宋_GB2312" w:cs="仿宋_GB2312"/>
          <w:sz w:val="32"/>
          <w:szCs w:val="32"/>
        </w:rPr>
        <w:t>各参赛学校自行举行本校初赛。7月31日前，所有校赛参赛项目均需在全国大赛官方平台进行报名，填报时需上传</w:t>
      </w:r>
      <w:r>
        <w:rPr>
          <w:rFonts w:hint="eastAsia" w:ascii="仿宋_GB2312" w:hAnsi="仿宋_GB2312" w:eastAsia="仿宋_GB2312" w:cs="仿宋_GB2312"/>
          <w:kern w:val="32"/>
          <w:sz w:val="32"/>
          <w:szCs w:val="32"/>
        </w:rPr>
        <w:t>参赛</w:t>
      </w:r>
      <w:r>
        <w:rPr>
          <w:rFonts w:hint="eastAsia" w:ascii="仿宋_GB2312" w:hAnsi="仿宋_GB2312" w:eastAsia="仿宋_GB2312" w:cs="仿宋_GB2312"/>
          <w:bCs/>
          <w:sz w:val="32"/>
          <w:szCs w:val="32"/>
        </w:rPr>
        <w:t>项目申报表（附件3）、公开展示信息表（附件4），请各学校务必仔细阅读赛事说明和表格填写说明，尽早在</w:t>
      </w:r>
      <w:r>
        <w:rPr>
          <w:rFonts w:hint="eastAsia" w:ascii="仿宋_GB2312" w:hAnsi="仿宋_GB2312" w:eastAsia="仿宋_GB2312" w:cs="仿宋_GB2312"/>
          <w:sz w:val="32"/>
          <w:szCs w:val="32"/>
        </w:rPr>
        <w:t>全国大赛官方平台进行填报，以防因临近系统关闭日期可能出现的网络拥堵，导致无法报名的情况发生。</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_GB2312" w:hAnsi="楷体_GB2312" w:eastAsia="楷体_GB2312" w:cs="楷体_GB2312"/>
          <w:sz w:val="32"/>
          <w:szCs w:val="32"/>
          <w:lang w:val="en-US" w:eastAsia="zh-CN"/>
        </w:rPr>
        <w:t>2.全省复赛（8月中旬）</w:t>
      </w:r>
      <w:r>
        <w:rPr>
          <w:rFonts w:hint="eastAsia" w:ascii="仿宋" w:hAnsi="仿宋" w:eastAsia="仿宋" w:cs="仿宋"/>
          <w:sz w:val="32"/>
          <w:szCs w:val="32"/>
        </w:rPr>
        <w:t>：</w:t>
      </w:r>
      <w:r>
        <w:rPr>
          <w:rFonts w:hint="eastAsia" w:ascii="仿宋_GB2312" w:hAnsi="仿宋_GB2312" w:eastAsia="仿宋_GB2312" w:cs="仿宋_GB2312"/>
          <w:sz w:val="32"/>
          <w:szCs w:val="32"/>
        </w:rPr>
        <w:t>组织全省复赛评审，评选出一定数量的参赛项目进入全省决赛，并通知各参赛学校。</w:t>
      </w:r>
      <w:bookmarkStart w:id="1" w:name="_GoBack"/>
      <w:bookmarkEnd w:id="1"/>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_GB2312" w:hAnsi="楷体_GB2312" w:eastAsia="楷体_GB2312" w:cs="楷体_GB2312"/>
          <w:sz w:val="32"/>
          <w:szCs w:val="32"/>
          <w:lang w:val="en-US" w:eastAsia="zh-CN"/>
        </w:rPr>
        <w:t>3.全省决赛（8月下旬）</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评委会将通过相应评审环节，按约占进入省级决赛项目总数的10%、20%和70%，分别评出金奖、银奖、铜奖。</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复赛、决赛阶段具体事宜将另行通知。</w:t>
      </w:r>
    </w:p>
    <w:p>
      <w:pPr>
        <w:pStyle w:val="4"/>
        <w:widowControl/>
        <w:spacing w:beforeAutospacing="0" w:afterAutospacing="0" w:line="560" w:lineRule="exact"/>
        <w:jc w:val="both"/>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五、有关要求</w:t>
      </w:r>
    </w:p>
    <w:p>
      <w:pPr>
        <w:pStyle w:val="4"/>
        <w:widowControl/>
        <w:numPr>
          <w:ilvl w:val="0"/>
          <w:numId w:val="0"/>
        </w:numPr>
        <w:spacing w:beforeAutospacing="0" w:afterAutospacing="0" w:line="560" w:lineRule="exact"/>
        <w:jc w:val="both"/>
        <w:rPr>
          <w:rFonts w:ascii="仿宋" w:hAnsi="仿宋" w:eastAsia="仿宋" w:cs="仿宋"/>
          <w:sz w:val="32"/>
          <w:szCs w:val="32"/>
        </w:rPr>
      </w:pPr>
      <w:r>
        <w:rPr>
          <w:rFonts w:hint="eastAsia" w:ascii="楷体_GB2312" w:hAnsi="楷体_GB2312" w:eastAsia="楷体_GB2312" w:cs="楷体_GB2312"/>
          <w:sz w:val="32"/>
          <w:szCs w:val="32"/>
          <w:lang w:val="en-US" w:eastAsia="zh-CN"/>
        </w:rPr>
        <w:t xml:space="preserve">    1.高度重视，加强领导。</w:t>
      </w:r>
      <w:r>
        <w:rPr>
          <w:rFonts w:hint="eastAsia" w:ascii="仿宋_GB2312" w:hAnsi="仿宋_GB2312" w:eastAsia="仿宋_GB2312" w:cs="仿宋_GB2312"/>
          <w:sz w:val="32"/>
          <w:szCs w:val="32"/>
        </w:rPr>
        <w:t>要提高政治站位，聚焦为党育人功能，将举办“挑战杯”湖北省大学生创业计划竞赛作为我省就业创业教育、促进青年学生创业实践的有力举措，切实增强工作实效。各学校要结合自身实际，成立组织机构，抓好校赛的组织工作，充分利用大赛搭建的线上平台，并按要求上报省赛作品。</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2.健全机制，加强指导。</w:t>
      </w:r>
      <w:r>
        <w:rPr>
          <w:rFonts w:hint="eastAsia" w:ascii="仿宋_GB2312" w:hAnsi="仿宋_GB2312" w:eastAsia="仿宋_GB2312" w:cs="仿宋_GB2312"/>
          <w:sz w:val="32"/>
          <w:szCs w:val="32"/>
        </w:rPr>
        <w:t>各学校要在总结往届“挑战杯”大赛办赛经验的基础上，参照赛事具体规则，结合大赛的新改革、新要求，积极建立健全学生就业创业服务体系，进一步做好机制建设工作。要在对参赛项目和个人的奖励支持上，注重与往届大赛的衔接和延伸，完善促进学生创新创业服务体系和政策机制。建立一支高素质指导教师队伍，对参赛者进行创业培训指导，组织开展创业实训活动，提高学生创业能力。</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lang w:val="en-US" w:eastAsia="zh-CN"/>
        </w:rPr>
        <w:t>3.整合资源，注重转化。</w:t>
      </w:r>
      <w:r>
        <w:rPr>
          <w:rFonts w:hint="eastAsia" w:ascii="仿宋_GB2312" w:hAnsi="仿宋_GB2312" w:eastAsia="仿宋_GB2312" w:cs="仿宋_GB2312"/>
          <w:sz w:val="32"/>
          <w:szCs w:val="32"/>
        </w:rPr>
        <w:t>各学校要积极整合校内资源，优化参赛团队组合，提供必要的人员和经费支持，切实提高参赛项目的核心竞争力。要积极整合社会资源,注重引入风险投资和联合社会有关方面为大赛提供资金、资源、智力等方面支持，努力推动参赛项目的成果转化。要积极探索，出台相关政策，为学生创业提供便利，支持项目成熟的学生创业。</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lang w:val="en-US" w:eastAsia="zh-CN"/>
        </w:rPr>
        <w:t>4.加强宣传，营造氛围。</w:t>
      </w:r>
      <w:r>
        <w:rPr>
          <w:rFonts w:hint="eastAsia" w:ascii="仿宋_GB2312" w:hAnsi="仿宋_GB2312" w:eastAsia="仿宋_GB2312" w:cs="仿宋_GB2312"/>
          <w:sz w:val="32"/>
          <w:szCs w:val="32"/>
        </w:rPr>
        <w:t>各学校要重视大赛宣传工作，广泛宣传“挑战杯”品牌，吸引更多学生参与，推动学生创业创新活动深入开展。要借助报刊、广播等传统媒体和网络、微博、微信等新媒体手段，在学生中和社会上营造氛围、扩大影响。</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大赛有关事宜，请与团省委学校部、湖北工业大学团委联系。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团省委学校部</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人：赵燕   李丹丹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联系电话：027-87233566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湖北工业大学团委</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人：黄勇   李亚丹</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联系电话：027-59750080</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"mailto:hbuttwtzb@163.com"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color w:val="auto"/>
          <w:sz w:val="32"/>
          <w:szCs w:val="32"/>
          <w:u w:val="none"/>
        </w:rPr>
        <w:t>hbuttwtzb@163.com</w:t>
      </w:r>
      <w:r>
        <w:rPr>
          <w:rStyle w:val="9"/>
          <w:rFonts w:hint="eastAsia" w:ascii="仿宋_GB2312" w:hAnsi="仿宋_GB2312" w:eastAsia="仿宋_GB2312" w:cs="仿宋_GB2312"/>
          <w:color w:val="auto"/>
          <w:sz w:val="32"/>
          <w:szCs w:val="32"/>
          <w:u w:val="none"/>
        </w:rPr>
        <w:fldChar w:fldCharType="end"/>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址：湖北省武汉市洪山区南湖南李路28号湖北工业大学大学生活动中心216室 </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编：430068</w:t>
      </w:r>
    </w:p>
    <w:p>
      <w:pPr>
        <w:pStyle w:val="4"/>
        <w:widowControl/>
        <w:spacing w:beforeAutospacing="0" w:afterAutospacing="0" w:line="560" w:lineRule="exact"/>
        <w:jc w:val="both"/>
        <w:rPr>
          <w:rFonts w:hint="eastAsia" w:ascii="仿宋_GB2312" w:hAnsi="仿宋_GB2312" w:eastAsia="仿宋_GB2312" w:cs="仿宋_GB2312"/>
          <w:sz w:val="32"/>
          <w:szCs w:val="32"/>
        </w:rPr>
      </w:pP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附件：1.第十一届“挑战杯”湖北省大学生创业计划竞赛赛</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事说明</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2.评审要点</w:t>
      </w:r>
    </w:p>
    <w:p>
      <w:pPr>
        <w:pStyle w:val="4"/>
        <w:widowControl/>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3.参赛项目申报表</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4.参赛项目公开展示信息表</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5.第十一届“挑战杯”湖北省大学生创业计划竞赛参</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赛项目汇总表　　 </w:t>
      </w:r>
    </w:p>
    <w:p>
      <w:pPr>
        <w:pStyle w:val="4"/>
        <w:widowControl/>
        <w:spacing w:beforeAutospacing="0" w:afterAutospacing="0"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共青团湖北省委              湖北省教育厅</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湖北省人力资源和社会保障厅    湖北省科学技术协会</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湖北省学生联合会</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2020年7月 日</w:t>
      </w:r>
    </w:p>
    <w:p>
      <w:pPr>
        <w:pStyle w:val="4"/>
        <w:shd w:val="clear" w:color="050000" w:fill="FFFFFF"/>
        <w:spacing w:beforeAutospacing="0" w:afterAutospacing="0" w:line="540" w:lineRule="exact"/>
        <w:rPr>
          <w:rFonts w:hint="eastAsia" w:ascii="仿宋_GB2312" w:hAnsi="仿宋_GB2312" w:eastAsia="仿宋_GB2312" w:cs="仿宋_GB2312"/>
          <w:sz w:val="32"/>
          <w:szCs w:val="32"/>
        </w:rPr>
      </w:pPr>
    </w:p>
    <w:p>
      <w:pPr>
        <w:pStyle w:val="4"/>
        <w:shd w:val="clear" w:color="050000" w:fill="FFFFFF"/>
        <w:spacing w:beforeAutospacing="0" w:afterAutospacing="0" w:line="540" w:lineRule="exact"/>
        <w:rPr>
          <w:rFonts w:hint="eastAsia" w:ascii="仿宋_GB2312" w:hAnsi="仿宋_GB2312" w:eastAsia="仿宋_GB2312" w:cs="仿宋_GB2312"/>
          <w:sz w:val="32"/>
          <w:szCs w:val="32"/>
        </w:rPr>
      </w:pPr>
    </w:p>
    <w:p>
      <w:pPr>
        <w:pStyle w:val="4"/>
        <w:shd w:val="clear" w:color="050000" w:fill="FFFFFF"/>
        <w:spacing w:beforeAutospacing="0" w:afterAutospacing="0" w:line="540" w:lineRule="exact"/>
        <w:rPr>
          <w:rFonts w:hint="eastAsia" w:ascii="仿宋_GB2312" w:hAnsi="仿宋_GB2312" w:eastAsia="仿宋_GB2312" w:cs="仿宋_GB2312"/>
          <w:sz w:val="32"/>
          <w:szCs w:val="32"/>
        </w:rPr>
      </w:pPr>
    </w:p>
    <w:p>
      <w:pPr>
        <w:pStyle w:val="4"/>
        <w:shd w:val="clear" w:color="050000" w:fill="FFFFFF"/>
        <w:spacing w:beforeAutospacing="0" w:afterAutospacing="0" w:line="540" w:lineRule="exact"/>
        <w:rPr>
          <w:rFonts w:hint="eastAsia" w:ascii="仿宋_GB2312" w:hAnsi="仿宋_GB2312" w:eastAsia="仿宋_GB2312" w:cs="仿宋_GB2312"/>
          <w:sz w:val="32"/>
          <w:szCs w:val="32"/>
        </w:rPr>
      </w:pPr>
    </w:p>
    <w:p>
      <w:pPr>
        <w:pStyle w:val="4"/>
        <w:shd w:val="clear" w:color="050000" w:fill="FFFFFF"/>
        <w:spacing w:beforeAutospacing="0" w:afterAutospacing="0" w:line="540" w:lineRule="exact"/>
        <w:rPr>
          <w:rFonts w:hint="eastAsia" w:ascii="仿宋_GB2312" w:hAnsi="仿宋_GB2312" w:eastAsia="仿宋_GB2312" w:cs="仿宋_GB2312"/>
          <w:sz w:val="32"/>
          <w:szCs w:val="32"/>
        </w:rPr>
      </w:pPr>
    </w:p>
    <w:p>
      <w:pPr>
        <w:pStyle w:val="4"/>
        <w:shd w:val="clear" w:color="050000" w:fill="FFFFFF"/>
        <w:spacing w:beforeAutospacing="0" w:afterAutospacing="0" w:line="540" w:lineRule="exact"/>
        <w:rPr>
          <w:rFonts w:ascii="黑体" w:hAnsi="宋体" w:eastAsia="黑体" w:cs="宋体"/>
          <w:sz w:val="32"/>
          <w:szCs w:val="32"/>
        </w:rPr>
      </w:pPr>
    </w:p>
    <w:p>
      <w:pPr>
        <w:pStyle w:val="4"/>
        <w:shd w:val="clear" w:color="050000" w:fill="FFFFFF"/>
        <w:spacing w:beforeAutospacing="0" w:afterAutospacing="0" w:line="540" w:lineRule="exact"/>
        <w:rPr>
          <w:rFonts w:ascii="黑体" w:hAnsi="宋体" w:eastAsia="黑体" w:cs="宋体"/>
          <w:sz w:val="32"/>
          <w:szCs w:val="32"/>
        </w:rPr>
      </w:pPr>
    </w:p>
    <w:p>
      <w:pPr>
        <w:pStyle w:val="4"/>
        <w:shd w:val="clear" w:color="050000" w:fill="FFFFFF"/>
        <w:spacing w:beforeAutospacing="0" w:afterAutospacing="0" w:line="540" w:lineRule="exact"/>
        <w:rPr>
          <w:rFonts w:ascii="黑体" w:hAnsi="宋体" w:eastAsia="黑体" w:cs="宋体"/>
          <w:sz w:val="32"/>
          <w:szCs w:val="32"/>
        </w:rPr>
      </w:pPr>
    </w:p>
    <w:p>
      <w:pPr>
        <w:pStyle w:val="4"/>
        <w:shd w:val="clear" w:color="050000" w:fill="FFFFFF"/>
        <w:spacing w:beforeAutospacing="0" w:afterAutospacing="0" w:line="540" w:lineRule="exact"/>
        <w:rPr>
          <w:rFonts w:ascii="黑体" w:hAnsi="宋体" w:eastAsia="黑体" w:cs="宋体"/>
          <w:sz w:val="32"/>
          <w:szCs w:val="32"/>
        </w:rPr>
      </w:pPr>
    </w:p>
    <w:p>
      <w:pPr>
        <w:pStyle w:val="4"/>
        <w:shd w:val="clear" w:color="050000" w:fill="FFFFFF"/>
        <w:spacing w:beforeAutospacing="0" w:afterAutospacing="0" w:line="540" w:lineRule="exact"/>
        <w:rPr>
          <w:rFonts w:ascii="黑体" w:hAnsi="宋体" w:eastAsia="黑体" w:cs="宋体"/>
          <w:sz w:val="32"/>
          <w:szCs w:val="32"/>
        </w:rPr>
      </w:pPr>
    </w:p>
    <w:p>
      <w:pPr>
        <w:pStyle w:val="4"/>
        <w:shd w:val="clear" w:color="050000" w:fill="FFFFFF"/>
        <w:spacing w:beforeAutospacing="0" w:afterAutospacing="0" w:line="540" w:lineRule="exact"/>
        <w:rPr>
          <w:rFonts w:ascii="黑体" w:hAnsi="宋体" w:eastAsia="黑体" w:cs="宋体"/>
          <w:sz w:val="32"/>
          <w:szCs w:val="32"/>
        </w:rPr>
      </w:pPr>
      <w:r>
        <w:rPr>
          <w:rFonts w:hint="eastAsia" w:ascii="黑体" w:hAnsi="宋体" w:eastAsia="黑体" w:cs="宋体"/>
          <w:sz w:val="32"/>
          <w:szCs w:val="32"/>
        </w:rPr>
        <w:t>附件1</w:t>
      </w:r>
    </w:p>
    <w:p>
      <w:pPr>
        <w:pStyle w:val="4"/>
        <w:shd w:val="clear" w:color="050000" w:fill="FFFFFF"/>
        <w:spacing w:beforeAutospacing="0" w:afterAutospacing="0" w:line="540" w:lineRule="exact"/>
        <w:rPr>
          <w:rFonts w:ascii="黑体" w:hAnsi="宋体" w:eastAsia="黑体" w:cs="宋体"/>
          <w:sz w:val="32"/>
          <w:szCs w:val="32"/>
        </w:rPr>
      </w:pPr>
    </w:p>
    <w:p>
      <w:pPr>
        <w:pStyle w:val="12"/>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第十一届“挑战杯”湖北省大学生创业计划</w:t>
      </w:r>
    </w:p>
    <w:p>
      <w:pPr>
        <w:pStyle w:val="12"/>
        <w:snapToGrid w:val="0"/>
        <w:spacing w:line="540" w:lineRule="exact"/>
        <w:jc w:val="center"/>
        <w:rPr>
          <w:rFonts w:ascii="方正小标宋简体" w:eastAsia="方正小标宋简体" w:cs="方正楷体简体"/>
          <w:color w:val="auto"/>
          <w:sz w:val="44"/>
          <w:szCs w:val="44"/>
        </w:rPr>
      </w:pPr>
      <w:r>
        <w:rPr>
          <w:rFonts w:hint="eastAsia" w:ascii="方正小标宋简体" w:hAnsi="方正小标宋简体" w:eastAsia="方正小标宋简体" w:cs="方正小标宋简体"/>
          <w:color w:val="auto"/>
          <w:sz w:val="44"/>
          <w:szCs w:val="44"/>
        </w:rPr>
        <w:t>竞赛</w:t>
      </w:r>
      <w:r>
        <w:rPr>
          <w:rFonts w:hint="eastAsia" w:ascii="方正小标宋简体" w:eastAsia="方正小标宋简体" w:cs="方正楷体简体"/>
          <w:color w:val="auto"/>
          <w:sz w:val="44"/>
          <w:szCs w:val="44"/>
          <w:shd w:val="clear" w:color="080000" w:fill="auto"/>
        </w:rPr>
        <w:t>赛事说明</w:t>
      </w:r>
    </w:p>
    <w:p>
      <w:pPr>
        <w:adjustRightInd w:val="0"/>
        <w:snapToGrid w:val="0"/>
        <w:spacing w:line="540" w:lineRule="exact"/>
        <w:rPr>
          <w:rFonts w:ascii="黑体" w:hAnsi="黑体" w:eastAsia="黑体"/>
          <w:kern w:val="0"/>
          <w:sz w:val="32"/>
          <w:szCs w:val="32"/>
        </w:rPr>
      </w:pPr>
      <w:r>
        <w:rPr>
          <w:rFonts w:hint="eastAsia" w:ascii="黑体" w:hAnsi="黑体" w:eastAsia="黑体"/>
          <w:kern w:val="0"/>
          <w:sz w:val="32"/>
          <w:szCs w:val="32"/>
        </w:rPr>
        <w:t xml:space="preserve"> </w:t>
      </w:r>
    </w:p>
    <w:p>
      <w:pPr>
        <w:adjustRightInd w:val="0"/>
        <w:snapToGrid w:val="0"/>
        <w:spacing w:line="540" w:lineRule="exact"/>
        <w:ind w:firstLine="640" w:firstLineChars="200"/>
        <w:rPr>
          <w:rFonts w:ascii="方正小标宋简体" w:hAnsi="宋体" w:eastAsia="方正小标宋简体" w:cs="宋体"/>
          <w:kern w:val="0"/>
          <w:sz w:val="36"/>
          <w:szCs w:val="36"/>
        </w:rPr>
      </w:pPr>
      <w:r>
        <w:rPr>
          <w:rFonts w:hint="eastAsia" w:ascii="黑体" w:hAnsi="黑体" w:eastAsia="黑体"/>
          <w:kern w:val="0"/>
          <w:sz w:val="32"/>
          <w:szCs w:val="32"/>
        </w:rPr>
        <w:t>一、赛制说明</w:t>
      </w:r>
    </w:p>
    <w:p>
      <w:pPr>
        <w:adjustRightInd w:val="0"/>
        <w:snapToGrid w:val="0"/>
        <w:spacing w:line="54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（一）参赛形式</w:t>
      </w:r>
    </w:p>
    <w:p>
      <w:pPr>
        <w:adjustRightInd w:val="0"/>
        <w:snapToGrid w:val="0"/>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1.以学校为单位统一申报，以项目团队形式参赛，每个团队人数原则上不超过10人，每个项目指导教师原则上不超过3人。</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2.对于跨校组队参赛的项目，各成员须事先协商明确唯一的项目申报单位。</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3.国赛报名截止后，只可进行人员删减，不可进行人员顺序调整及人员添加。</w:t>
      </w:r>
    </w:p>
    <w:p>
      <w:pPr>
        <w:adjustRightInd w:val="0"/>
        <w:snapToGrid w:val="0"/>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每所学校通过大赛官方平台报名的校级初赛项目数量不限。各校校级初赛报名情况将作为国赛直通车项目的重要参考。</w:t>
      </w:r>
    </w:p>
    <w:p>
      <w:pPr>
        <w:adjustRightInd w:val="0"/>
        <w:snapToGrid w:val="0"/>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5.每所学校推报参加省级复赛的项目不得超过10件，每个组别限报2件</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每人（每个团队）限报1件。</w:t>
      </w:r>
    </w:p>
    <w:p>
      <w:pPr>
        <w:adjustRightInd w:val="0"/>
        <w:snapToGrid w:val="0"/>
        <w:spacing w:line="54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（二）参赛要求</w:t>
      </w:r>
    </w:p>
    <w:p>
      <w:pPr>
        <w:adjustRightInd w:val="0"/>
        <w:snapToGrid w:val="0"/>
        <w:spacing w:line="540" w:lineRule="exact"/>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在往届“挑战杯”大学生创业计划竞赛、“创青春”大学生创业大赛、“挑战杯——彩虹人生”全国职业学校创新创效创业大赛等比赛中获得省级以上金奖（特等奖）、银奖（一等奖）的项目，不可重复报名。</w:t>
      </w:r>
    </w:p>
    <w:p>
      <w:pPr>
        <w:adjustRightInd w:val="0"/>
        <w:snapToGrid w:val="0"/>
        <w:spacing w:line="540" w:lineRule="exact"/>
        <w:ind w:firstLine="640" w:firstLineChars="200"/>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（三）项目申报</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32"/>
          <w:sz w:val="32"/>
          <w:szCs w:val="32"/>
        </w:rPr>
        <w:t>报名材料包括参赛</w:t>
      </w:r>
      <w:r>
        <w:rPr>
          <w:rFonts w:hint="eastAsia" w:ascii="仿宋_GB2312" w:hAnsi="仿宋_GB2312" w:eastAsia="仿宋_GB2312" w:cs="仿宋_GB2312"/>
          <w:bCs/>
          <w:sz w:val="32"/>
          <w:szCs w:val="32"/>
        </w:rPr>
        <w:t>项目申报表（附件3）、公开展示信息表（附件4），需分别填写报送。电子版于7月31日前通过大赛官方平台报送，具体报送方式另行通知。</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加省级复赛的项目，请各学校于8月5日之前，填写省级复赛项目汇总表（附件5），连同上述两个表格电子版（刻录光盘）和纸质版（包括表格中涉及到的相关印证材料）一并报送至大赛组委会办公室（湖北工业大学北区大学生活动中心二楼216室）。纸质版要求一式6份，封面采用230克A4纸，正文采用70克A4纸。</w:t>
      </w:r>
    </w:p>
    <w:p>
      <w:pPr>
        <w:adjustRightInd w:val="0"/>
        <w:snapToGrid w:val="0"/>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外，（1）参赛项目涉及知识产权的，在报名时需提交具有法律效力的发明创造或专利技术所有人的书面授权许可、项目鉴定证书、专利证书等复印件。（2）对于已工商注册的项目，在报名时需提交相关证明材料（含单位概况、法定代表人情况、营业执照复印件、税务登记证复印件、组织机构代码复印件等）。已工商注册项目的负责人须为企业法人代表。企业法人代表在2020年6月29日之后进行变更的不予认可。</w:t>
      </w:r>
    </w:p>
    <w:p>
      <w:pPr>
        <w:pStyle w:val="4"/>
        <w:shd w:val="clear" w:color="060000" w:fill="FFFFFF"/>
        <w:adjustRightInd w:val="0"/>
        <w:snapToGrid w:val="0"/>
        <w:spacing w:beforeAutospacing="0" w:afterAutospacing="0" w:line="540" w:lineRule="exact"/>
        <w:ind w:firstLine="640" w:firstLineChars="200"/>
        <w:rPr>
          <w:rFonts w:ascii="黑体" w:hAnsi="黑体" w:eastAsia="黑体"/>
          <w:sz w:val="32"/>
          <w:szCs w:val="32"/>
        </w:rPr>
      </w:pPr>
      <w:r>
        <w:rPr>
          <w:rFonts w:hint="eastAsia" w:ascii="黑体" w:hAnsi="黑体" w:eastAsia="黑体"/>
          <w:sz w:val="32"/>
          <w:szCs w:val="32"/>
          <w:shd w:val="clear" w:color="080000" w:fill="FFFFFF"/>
        </w:rPr>
        <w:t>二、组织机构</w:t>
      </w:r>
    </w:p>
    <w:p>
      <w:pPr>
        <w:pStyle w:val="4"/>
        <w:shd w:val="clear" w:color="060000" w:fill="FFFFFF"/>
        <w:adjustRightInd w:val="0"/>
        <w:snapToGrid w:val="0"/>
        <w:spacing w:beforeAutospacing="0" w:afterAutospacing="0" w:line="540" w:lineRule="exact"/>
        <w:ind w:firstLine="640" w:firstLineChars="200"/>
        <w:rPr>
          <w:rFonts w:ascii="仿宋_GB2312" w:hAnsi="仿宋_GB2312" w:eastAsia="仿宋_GB2312" w:cs="仿宋_GB2312"/>
          <w:sz w:val="32"/>
          <w:szCs w:val="32"/>
          <w:shd w:val="clear" w:color="080000" w:fill="FFFFFF"/>
        </w:rPr>
      </w:pPr>
      <w:r>
        <w:rPr>
          <w:rFonts w:hint="eastAsia" w:ascii="仿宋_GB2312" w:hAnsi="仿宋_GB2312" w:eastAsia="仿宋_GB2312" w:cs="仿宋_GB2312"/>
          <w:sz w:val="32"/>
          <w:szCs w:val="32"/>
          <w:shd w:val="clear" w:color="080000" w:fill="FFFFFF"/>
        </w:rPr>
        <w:t>大赛设立全省组织委员会（以下简称“组委会”），由主办单位、承办单位的有关责任人组成，负责竞赛组织领导工作。组委会办公室设在湖北工业大学团委，负责大赛的日常事务。</w:t>
      </w:r>
    </w:p>
    <w:p>
      <w:pPr>
        <w:pStyle w:val="4"/>
        <w:shd w:val="clear" w:color="060000" w:fill="FFFFFF"/>
        <w:adjustRightInd w:val="0"/>
        <w:snapToGrid w:val="0"/>
        <w:spacing w:beforeAutospacing="0" w:afterAutospacing="0" w:line="540" w:lineRule="exact"/>
        <w:ind w:firstLine="640" w:firstLineChars="200"/>
        <w:jc w:val="both"/>
        <w:rPr>
          <w:rFonts w:ascii="仿宋_GB2312" w:hAnsi="仿宋_GB2312" w:eastAsia="仿宋_GB2312" w:cs="仿宋_GB2312"/>
          <w:sz w:val="32"/>
          <w:szCs w:val="32"/>
          <w:shd w:val="clear" w:color="080000" w:fill="FFFFFF"/>
        </w:rPr>
      </w:pPr>
      <w:r>
        <w:rPr>
          <w:rFonts w:hint="eastAsia" w:ascii="仿宋_GB2312" w:hAnsi="仿宋_GB2312" w:eastAsia="仿宋_GB2312" w:cs="仿宋_GB2312"/>
          <w:sz w:val="32"/>
          <w:szCs w:val="32"/>
          <w:shd w:val="clear" w:color="080000" w:fill="FFFFFF"/>
        </w:rPr>
        <w:t>大赛设立全省评审委员会（以下简称“评委会”），由组委会聘请非学校的相关领域专家学者、行业领军人物、知名企业家</w:t>
      </w:r>
    </w:p>
    <w:p>
      <w:pPr>
        <w:pStyle w:val="4"/>
        <w:shd w:val="clear" w:color="060000" w:fill="FFFFFF"/>
        <w:adjustRightInd w:val="0"/>
        <w:snapToGrid w:val="0"/>
        <w:spacing w:beforeAutospacing="0" w:afterAutospacing="0" w:line="5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80000" w:fill="FFFFFF"/>
        </w:rPr>
        <w:t>等组成，负责参赛项目的评审工作。</w:t>
      </w:r>
    </w:p>
    <w:p>
      <w:pPr>
        <w:pStyle w:val="4"/>
        <w:shd w:val="clear" w:color="050000" w:fill="FFFFFF"/>
        <w:adjustRightInd w:val="0"/>
        <w:snapToGrid w:val="0"/>
        <w:spacing w:beforeAutospacing="0" w:afterAutospacing="0" w:line="540" w:lineRule="exact"/>
        <w:ind w:firstLine="640" w:firstLineChars="200"/>
        <w:jc w:val="both"/>
        <w:rPr>
          <w:rFonts w:ascii="仿宋_GB2312" w:hAnsi="仿宋_GB2312" w:eastAsia="仿宋_GB2312" w:cs="仿宋_GB2312"/>
          <w:sz w:val="32"/>
          <w:szCs w:val="32"/>
          <w:shd w:val="clear" w:color="080000" w:fill="FFFFFF"/>
        </w:rPr>
      </w:pPr>
      <w:r>
        <w:rPr>
          <w:rFonts w:hint="eastAsia" w:ascii="仿宋_GB2312" w:hAnsi="仿宋_GB2312" w:eastAsia="仿宋_GB2312" w:cs="仿宋_GB2312"/>
          <w:sz w:val="32"/>
          <w:szCs w:val="32"/>
          <w:shd w:val="clear" w:color="080000" w:fill="FFFFFF"/>
        </w:rPr>
        <w:t>各学校要成立相应机构，负责本校预赛的组织开展、项目评审等相关工作。</w:t>
      </w:r>
    </w:p>
    <w:p>
      <w:pPr>
        <w:pStyle w:val="4"/>
        <w:shd w:val="clear" w:color="060000" w:fill="FFFFFF"/>
        <w:adjustRightInd w:val="0"/>
        <w:snapToGrid w:val="0"/>
        <w:spacing w:beforeAutospacing="0" w:afterAutospacing="0" w:line="540" w:lineRule="exact"/>
        <w:ind w:firstLine="640" w:firstLineChars="200"/>
        <w:jc w:val="both"/>
        <w:rPr>
          <w:rFonts w:ascii="黑体" w:hAnsi="黑体" w:eastAsia="黑体"/>
          <w:sz w:val="32"/>
          <w:szCs w:val="32"/>
        </w:rPr>
      </w:pPr>
      <w:r>
        <w:rPr>
          <w:rFonts w:hint="eastAsia" w:ascii="黑体" w:hAnsi="黑体" w:eastAsia="黑体"/>
          <w:sz w:val="32"/>
          <w:szCs w:val="32"/>
          <w:shd w:val="clear" w:color="080000" w:fill="FFFFFF"/>
        </w:rPr>
        <w:t>三、奖项设置</w:t>
      </w:r>
    </w:p>
    <w:p>
      <w:pPr>
        <w:pStyle w:val="4"/>
        <w:shd w:val="clear" w:color="060000" w:fill="FFFFFF"/>
        <w:adjustRightInd w:val="0"/>
        <w:snapToGrid w:val="0"/>
        <w:spacing w:beforeAutospacing="0" w:afterAutospacing="0" w:line="540" w:lineRule="exact"/>
        <w:ind w:firstLine="640" w:firstLineChars="200"/>
        <w:jc w:val="both"/>
        <w:rPr>
          <w:rFonts w:ascii="仿宋_GB2312" w:hAnsi="仿宋_GB2312" w:eastAsia="仿宋_GB2312" w:cs="仿宋_GB2312"/>
          <w:sz w:val="32"/>
          <w:szCs w:val="32"/>
          <w:shd w:val="clear" w:color="080000" w:fill="FFFFFF"/>
        </w:rPr>
      </w:pPr>
      <w:r>
        <w:rPr>
          <w:rFonts w:hint="eastAsia" w:ascii="仿宋_GB2312" w:hAnsi="仿宋_GB2312" w:eastAsia="仿宋_GB2312" w:cs="仿宋_GB2312"/>
          <w:sz w:val="32"/>
          <w:szCs w:val="32"/>
          <w:shd w:val="clear" w:color="080000" w:fill="FFFFFF"/>
        </w:rPr>
        <w:t>本次大赛设金奖、银奖、铜奖，另设优秀组织奖若干。省级组委会、评委会将通过相应评审环节，对赛事评出若干奖项，并视各校竞赛组织情况授予优秀组织奖。</w:t>
      </w:r>
    </w:p>
    <w:p>
      <w:pPr>
        <w:pStyle w:val="4"/>
        <w:widowControl/>
        <w:spacing w:beforeAutospacing="0" w:afterAutospacing="0" w:line="540" w:lineRule="exact"/>
        <w:ind w:left="640"/>
        <w:jc w:val="both"/>
        <w:rPr>
          <w:rFonts w:ascii="仿宋" w:hAnsi="仿宋" w:eastAsia="仿宋" w:cs="仿宋"/>
          <w:sz w:val="32"/>
          <w:szCs w:val="32"/>
        </w:rPr>
      </w:pPr>
      <w:r>
        <w:rPr>
          <w:rFonts w:hint="eastAsia" w:ascii="黑体" w:hAnsi="黑体" w:eastAsia="黑体" w:cs="黑体"/>
          <w:sz w:val="32"/>
          <w:szCs w:val="32"/>
        </w:rPr>
        <w:t>四、活动安排</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进一步增强大赛的群众性、交流性，充分发挥线上平台优势，扩大赛事覆盖面和参与度，国赛组委会将在赛事举办期间开展系列活动。所有参赛</w:t>
      </w:r>
      <w:r>
        <w:rPr>
          <w:rFonts w:hint="eastAsia" w:ascii="仿宋_GB2312" w:hAnsi="仿宋_GB2312" w:eastAsia="仿宋_GB2312" w:cs="仿宋_GB2312"/>
          <w:sz w:val="32"/>
          <w:szCs w:val="32"/>
          <w:lang w:eastAsia="zh-CN"/>
        </w:rPr>
        <w:t>团队及人员</w:t>
      </w:r>
      <w:r>
        <w:rPr>
          <w:rFonts w:hint="eastAsia" w:ascii="仿宋_GB2312" w:hAnsi="仿宋_GB2312" w:eastAsia="仿宋_GB2312" w:cs="仿宋_GB2312"/>
          <w:sz w:val="32"/>
          <w:szCs w:val="32"/>
        </w:rPr>
        <w:t>在校级初赛报名后，均可参加全部活动。各校参赛团队、参赛学生参与8项活动的情况可获大赛“挑战积分”，积分将作为参加国赛直通车、组委会组织单项奖、项目单项奖评定的参考。</w:t>
      </w:r>
    </w:p>
    <w:p>
      <w:pPr>
        <w:pStyle w:val="4"/>
        <w:widowControl/>
        <w:numPr>
          <w:ilvl w:val="0"/>
          <w:numId w:val="1"/>
        </w:numPr>
        <w:spacing w:beforeAutospacing="0" w:afterAutospacing="0" w:line="540" w:lineRule="exact"/>
        <w:ind w:firstLine="64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向祖国报到——“挑战杯”社会实践云接力。</w:t>
      </w:r>
      <w:r>
        <w:rPr>
          <w:rFonts w:hint="eastAsia" w:ascii="仿宋_GB2312" w:hAnsi="仿宋_GB2312" w:eastAsia="仿宋_GB2312" w:cs="仿宋_GB2312"/>
          <w:sz w:val="32"/>
          <w:szCs w:val="32"/>
          <w:lang w:eastAsia="zh-CN"/>
        </w:rPr>
        <w:t>面向参赛学生，广泛征集进基层、进社区、进企业、进农村的实践故事，通过点亮祖国地图的方式，展现广大学生牢记习近平总书记关于“让青春在党和人民最需要的地方绽放绚丽之花”重要要求、践行“坚定理想信念，站稳人民立场，练就过硬本领，投身强国伟业”的青春风采。</w:t>
      </w:r>
    </w:p>
    <w:p>
      <w:pPr>
        <w:spacing w:line="540" w:lineRule="exact"/>
        <w:ind w:firstLine="643" w:firstLineChars="200"/>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具体安排：</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活动时间：8月-10月</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参与主体：所有参赛学生</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活动形式：</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上传实践内容（8月31日前）。学生以个人或团队身份以“打卡形式”上传赴各地开展的社会实践活动情况，实践地点以县为单位，可以上传故事、照片或视频等，点亮祖国地图。社会实践指广义的实践，包括日常性、集中性的学习调研、寻访参观、企事业实习、社会观察、职业体验、科研创新等。学生提交后，经过学校审核方能公开发布。</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实践可为学生在校期间任何时间的实践活动（</w:t>
      </w:r>
      <w:r>
        <w:rPr>
          <w:rFonts w:hint="eastAsia" w:ascii="仿宋_GB2312" w:hAnsi="仿宋_GB2312" w:eastAsia="仿宋_GB2312" w:cs="仿宋_GB2312"/>
          <w:b/>
          <w:kern w:val="0"/>
          <w:sz w:val="32"/>
          <w:szCs w:val="32"/>
          <w:lang w:bidi="ar"/>
        </w:rPr>
        <w:t>不限于今年暑期</w:t>
      </w:r>
      <w:r>
        <w:rPr>
          <w:rFonts w:hint="eastAsia" w:ascii="仿宋_GB2312" w:hAnsi="仿宋_GB2312" w:eastAsia="仿宋_GB2312" w:cs="仿宋_GB2312"/>
          <w:kern w:val="0"/>
          <w:sz w:val="32"/>
          <w:szCs w:val="32"/>
          <w:lang w:bidi="ar"/>
        </w:rPr>
        <w:t>）。故事为200以内文字，描述实践期间的所见所感。图片需反映实践场景。视频为30秒以内短视频，如为今年暑期实践项目，可以“向祖国报到”为主题拍摄视频，示例文字为：我/我们是...，我/我们来自...学校，我/我们在...省.....县....，我/我们向祖国报到！</w:t>
      </w:r>
    </w:p>
    <w:p>
      <w:pPr>
        <w:pStyle w:val="4"/>
        <w:widowControl/>
        <w:numPr>
          <w:ilvl w:val="0"/>
          <w:numId w:val="1"/>
        </w:numPr>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向梦想出发——“挑战杯”奋斗出彩云分享。</w:t>
      </w:r>
      <w:r>
        <w:rPr>
          <w:rFonts w:hint="eastAsia" w:ascii="仿宋_GB2312" w:hAnsi="仿宋_GB2312" w:eastAsia="仿宋_GB2312" w:cs="仿宋_GB2312"/>
          <w:sz w:val="32"/>
          <w:szCs w:val="32"/>
        </w:rPr>
        <w:t>从历届“挑战杯”创业计划竞赛参赛学生中，挖掘具有感人事迹、奋斗创业历程的典型，以TED演讲、沙龙分享、对话访谈等形式组织分享会，向广大学生讲述创业故事，引导大学生树立正确的成长观。</w:t>
      </w:r>
    </w:p>
    <w:p>
      <w:pPr>
        <w:pStyle w:val="4"/>
        <w:widowControl/>
        <w:spacing w:beforeAutospacing="0" w:afterAutospacing="0" w:line="540" w:lineRule="exact"/>
        <w:jc w:val="both"/>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具体安排：</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活动时间：8月-10月</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参与主体：</w:t>
      </w:r>
      <w:r>
        <w:rPr>
          <w:rFonts w:hint="eastAsia" w:ascii="仿宋_GB2312" w:hAnsi="仿宋_GB2312" w:eastAsia="仿宋_GB2312" w:cs="仿宋_GB2312"/>
          <w:kern w:val="0"/>
          <w:sz w:val="32"/>
          <w:szCs w:val="32"/>
          <w:lang w:eastAsia="zh-CN" w:bidi="ar"/>
        </w:rPr>
        <w:t>全省</w:t>
      </w:r>
      <w:r>
        <w:rPr>
          <w:rFonts w:hint="eastAsia" w:ascii="仿宋_GB2312" w:hAnsi="仿宋_GB2312" w:eastAsia="仿宋_GB2312" w:cs="仿宋_GB2312"/>
          <w:kern w:val="0"/>
          <w:sz w:val="32"/>
          <w:szCs w:val="32"/>
          <w:lang w:bidi="ar"/>
        </w:rPr>
        <w:t>大学生</w:t>
      </w:r>
    </w:p>
    <w:p>
      <w:pPr>
        <w:spacing w:line="54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活动形式：</w:t>
      </w:r>
    </w:p>
    <w:p>
      <w:pPr>
        <w:pStyle w:val="4"/>
        <w:widowControl/>
        <w:spacing w:beforeAutospacing="0" w:afterAutospacing="0" w:line="540" w:lineRule="exact"/>
        <w:jc w:val="both"/>
        <w:rPr>
          <w:rFonts w:ascii="仿宋" w:hAnsi="仿宋" w:eastAsia="仿宋" w:cs="仿宋"/>
          <w:sz w:val="32"/>
          <w:szCs w:val="32"/>
          <w:lang w:bidi="ar"/>
        </w:rPr>
      </w:pPr>
      <w:r>
        <w:rPr>
          <w:rFonts w:hint="eastAsia" w:ascii="仿宋_GB2312" w:hAnsi="仿宋_GB2312" w:eastAsia="仿宋_GB2312" w:cs="仿宋_GB2312"/>
          <w:sz w:val="32"/>
          <w:szCs w:val="32"/>
          <w:lang w:bidi="ar"/>
        </w:rPr>
        <w:t xml:space="preserve">    线上直播，参赛项目团队成员可登录大赛平台观看。</w:t>
      </w:r>
    </w:p>
    <w:p>
      <w:pPr>
        <w:pStyle w:val="4"/>
        <w:widowControl/>
        <w:numPr>
          <w:ilvl w:val="0"/>
          <w:numId w:val="1"/>
        </w:numPr>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挑战杯·双创云展会。</w:t>
      </w:r>
      <w:r>
        <w:rPr>
          <w:rFonts w:hint="eastAsia" w:ascii="仿宋_GB2312" w:hAnsi="仿宋_GB2312" w:eastAsia="仿宋_GB2312" w:cs="仿宋_GB2312"/>
          <w:sz w:val="32"/>
          <w:szCs w:val="32"/>
        </w:rPr>
        <w:t>运用线上平台、新媒体矩阵的展示功能，通过图文、短视频等多种形式，对参与项目进行云展示。</w:t>
      </w:r>
    </w:p>
    <w:p>
      <w:pPr>
        <w:pStyle w:val="4"/>
        <w:widowControl/>
        <w:spacing w:beforeAutospacing="0" w:afterAutospacing="0" w:line="540" w:lineRule="exact"/>
        <w:ind w:left="640"/>
        <w:jc w:val="both"/>
        <w:rPr>
          <w:rFonts w:ascii="仿宋" w:hAnsi="仿宋" w:eastAsia="仿宋" w:cs="仿宋"/>
          <w:b/>
          <w:bCs/>
          <w:sz w:val="32"/>
          <w:szCs w:val="32"/>
        </w:rPr>
      </w:pPr>
      <w:r>
        <w:rPr>
          <w:rFonts w:hint="eastAsia" w:ascii="仿宋" w:hAnsi="仿宋" w:eastAsia="仿宋" w:cs="仿宋"/>
          <w:b/>
          <w:bCs/>
          <w:sz w:val="32"/>
          <w:szCs w:val="32"/>
        </w:rPr>
        <w:t>具体安排：</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活动时间：8月20日起</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参与主体：所有参赛学生</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活动形式：</w:t>
      </w:r>
    </w:p>
    <w:p>
      <w:pPr>
        <w:pStyle w:val="4"/>
        <w:widowControl/>
        <w:numPr>
          <w:ilvl w:val="0"/>
          <w:numId w:val="2"/>
        </w:numPr>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提交参展信息（7月31日前）。各参赛项目团队在校</w:t>
      </w:r>
    </w:p>
    <w:p>
      <w:pPr>
        <w:pStyle w:val="4"/>
        <w:widowControl/>
        <w:spacing w:beforeAutospacing="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级初赛报名阶段，填报“公开展示信息”后，即完成参展。</w:t>
      </w:r>
    </w:p>
    <w:p>
      <w:pPr>
        <w:pStyle w:val="4"/>
        <w:widowControl/>
        <w:numPr>
          <w:ilvl w:val="0"/>
          <w:numId w:val="2"/>
        </w:numPr>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举办云展会（8月20起）。依托赛事平台，国赛组委</w:t>
      </w:r>
    </w:p>
    <w:p>
      <w:pPr>
        <w:pStyle w:val="4"/>
        <w:widowControl/>
        <w:spacing w:beforeAutospacing="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会分主题、分区域设计展会，观众可通过赛事官方平台、大赛门户网站看展。</w:t>
      </w:r>
    </w:p>
    <w:p>
      <w:pPr>
        <w:pStyle w:val="4"/>
        <w:widowControl/>
        <w:numPr>
          <w:ilvl w:val="0"/>
          <w:numId w:val="3"/>
        </w:numPr>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挑战杯·青年学习汇。</w:t>
      </w:r>
      <w:r>
        <w:rPr>
          <w:rFonts w:hint="eastAsia" w:ascii="仿宋_GB2312" w:hAnsi="仿宋_GB2312" w:eastAsia="仿宋_GB2312" w:cs="仿宋_GB2312"/>
          <w:sz w:val="32"/>
          <w:szCs w:val="32"/>
        </w:rPr>
        <w:t>引导参赛学生打破地域、学科界限，组建临时学习小组，创建话题，开展线上讨论交流，推动形成开放交流、自发研讨、互为“导师”的“朋友圈”氛围。</w:t>
      </w:r>
    </w:p>
    <w:p>
      <w:pPr>
        <w:pStyle w:val="4"/>
        <w:widowControl/>
        <w:spacing w:beforeAutospacing="0" w:afterAutospacing="0" w:line="540" w:lineRule="exact"/>
        <w:ind w:left="640"/>
        <w:jc w:val="both"/>
        <w:rPr>
          <w:rFonts w:ascii="仿宋" w:hAnsi="仿宋" w:eastAsia="仿宋" w:cs="仿宋"/>
          <w:b/>
          <w:bCs/>
          <w:sz w:val="32"/>
          <w:szCs w:val="32"/>
        </w:rPr>
      </w:pPr>
      <w:r>
        <w:rPr>
          <w:rFonts w:hint="eastAsia" w:ascii="仿宋" w:hAnsi="仿宋" w:eastAsia="仿宋" w:cs="仿宋"/>
          <w:b/>
          <w:bCs/>
          <w:sz w:val="32"/>
          <w:szCs w:val="32"/>
        </w:rPr>
        <w:t>具体安排：</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活动时间：8月5日起</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参与主体：所有参赛学生</w:t>
      </w:r>
    </w:p>
    <w:p>
      <w:pPr>
        <w:pStyle w:val="4"/>
        <w:widowControl/>
        <w:spacing w:beforeAutospacing="0" w:afterAutospacing="0" w:line="540" w:lineRule="exac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活动形式：</w:t>
      </w:r>
    </w:p>
    <w:p>
      <w:pPr>
        <w:pStyle w:val="4"/>
        <w:widowControl/>
        <w:numPr>
          <w:ilvl w:val="0"/>
          <w:numId w:val="4"/>
        </w:numPr>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成立小组（8月15日前）。每小组限5-8人。每个小组内，同一个参赛项目团队的成员不超过3名。</w:t>
      </w:r>
    </w:p>
    <w:p>
      <w:pPr>
        <w:pStyle w:val="4"/>
        <w:widowControl/>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——参赛学生自愿发起小组。发起人通过搜索条件向其他参</w:t>
      </w:r>
    </w:p>
    <w:p>
      <w:pPr>
        <w:pStyle w:val="4"/>
        <w:widowControl/>
        <w:spacing w:beforeAutospacing="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赛团队发出“成组邀请”。</w:t>
      </w:r>
    </w:p>
    <w:p>
      <w:pPr>
        <w:pStyle w:val="4"/>
        <w:widowControl/>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——参赛学生通过搜索“申请加入”小组，或“接受邀请”</w:t>
      </w:r>
    </w:p>
    <w:p>
      <w:pPr>
        <w:pStyle w:val="4"/>
        <w:widowControl/>
        <w:spacing w:beforeAutospacing="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加入小组。每人至多加入1个小组。</w:t>
      </w:r>
    </w:p>
    <w:p>
      <w:pPr>
        <w:pStyle w:val="4"/>
        <w:widowControl/>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——发起者确定5-8名（含发起者）成员。截止期满，未达到5人的成立小组失败，达到5-8人的即成立小组。每名参赛学生仅限发起或加入1个学习小组。小组一旦成立，小组及成员不可变动。</w:t>
      </w:r>
    </w:p>
    <w:p>
      <w:pPr>
        <w:pStyle w:val="4"/>
        <w:widowControl/>
        <w:numPr>
          <w:ilvl w:val="0"/>
          <w:numId w:val="4"/>
        </w:numPr>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小组发起话题（8月15日-9月20日）。每个小组每</w:t>
      </w:r>
    </w:p>
    <w:p>
      <w:pPr>
        <w:pStyle w:val="4"/>
        <w:widowControl/>
        <w:spacing w:beforeAutospacing="0" w:afterAutospacing="0"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周至多发起1次话题，每次话题至少30分钟，时长不设上限。1次话题结束，上传1份小组话题纪要（500字以内）。</w:t>
      </w:r>
    </w:p>
    <w:p>
      <w:pPr>
        <w:pStyle w:val="4"/>
        <w:widowControl/>
        <w:numPr>
          <w:ilvl w:val="0"/>
          <w:numId w:val="4"/>
        </w:numPr>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评定“优秀学习小组”（9月底）。根据小组发起话题数量、活跃度、话题讨论成果情况，评定若干“优秀学习小组”，面向所有优秀学习小组成员颁发国赛组委会证书。</w:t>
      </w:r>
    </w:p>
    <w:p>
      <w:pPr>
        <w:pStyle w:val="4"/>
        <w:widowControl/>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（4）全国赛后学习小组可保持常态化交流。</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5.挑战杯·名师大讲堂。</w:t>
      </w:r>
      <w:r>
        <w:rPr>
          <w:rFonts w:hint="eastAsia" w:ascii="仿宋_GB2312" w:hAnsi="仿宋_GB2312" w:eastAsia="仿宋_GB2312" w:cs="仿宋_GB2312"/>
          <w:sz w:val="32"/>
          <w:szCs w:val="32"/>
        </w:rPr>
        <w:t>邀请行业领军人物、社会知名人士、业界知名学者等举办名师大讲堂，面向</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大学生线上直播。</w:t>
      </w:r>
    </w:p>
    <w:p>
      <w:pPr>
        <w:pStyle w:val="4"/>
        <w:widowControl/>
        <w:spacing w:beforeAutospacing="0" w:afterAutospacing="0" w:line="540" w:lineRule="exact"/>
        <w:ind w:firstLine="640"/>
        <w:jc w:val="both"/>
        <w:rPr>
          <w:rFonts w:ascii="仿宋" w:hAnsi="仿宋" w:eastAsia="仿宋" w:cs="仿宋"/>
          <w:b/>
          <w:bCs/>
          <w:sz w:val="32"/>
          <w:szCs w:val="32"/>
        </w:rPr>
      </w:pPr>
      <w:r>
        <w:rPr>
          <w:rFonts w:hint="eastAsia" w:ascii="仿宋" w:hAnsi="仿宋" w:eastAsia="仿宋" w:cs="仿宋"/>
          <w:b/>
          <w:bCs/>
          <w:sz w:val="32"/>
          <w:szCs w:val="32"/>
        </w:rPr>
        <w:t>具体安排：</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活动时间：8月-10月</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参与主体：</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大学生</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活动形式：</w:t>
      </w:r>
    </w:p>
    <w:p>
      <w:pPr>
        <w:pStyle w:val="4"/>
        <w:widowControl/>
        <w:spacing w:beforeAutospacing="0" w:afterAutospacing="0" w:line="540" w:lineRule="exact"/>
        <w:ind w:firstLine="640"/>
        <w:jc w:val="both"/>
        <w:rPr>
          <w:rFonts w:ascii="仿宋" w:hAnsi="仿宋" w:eastAsia="仿宋" w:cs="仿宋"/>
          <w:sz w:val="32"/>
          <w:szCs w:val="32"/>
        </w:rPr>
      </w:pPr>
      <w:r>
        <w:rPr>
          <w:rFonts w:hint="eastAsia" w:ascii="仿宋_GB2312" w:hAnsi="仿宋_GB2312" w:eastAsia="仿宋_GB2312" w:cs="仿宋_GB2312"/>
          <w:sz w:val="32"/>
          <w:szCs w:val="32"/>
        </w:rPr>
        <w:t>线上直播，参赛项目团队成员可登录大赛平台观看。</w:t>
      </w:r>
    </w:p>
    <w:p>
      <w:pPr>
        <w:pStyle w:val="4"/>
        <w:widowControl/>
        <w:numPr>
          <w:ilvl w:val="0"/>
          <w:numId w:val="5"/>
        </w:numPr>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挑战杯·导师会客厅。</w:t>
      </w:r>
      <w:r>
        <w:rPr>
          <w:rFonts w:hint="eastAsia" w:ascii="仿宋_GB2312" w:hAnsi="仿宋_GB2312" w:eastAsia="仿宋_GB2312" w:cs="仿宋_GB2312"/>
          <w:sz w:val="32"/>
          <w:szCs w:val="32"/>
        </w:rPr>
        <w:t>邀请企业家、投资人、孵化机构代表等，组成“挑战杯”大学生创业导师团，依托线上平台交互功能，实现导师与项目的结对和长期跟踪指导。</w:t>
      </w:r>
    </w:p>
    <w:p>
      <w:pPr>
        <w:pStyle w:val="4"/>
        <w:widowControl/>
        <w:spacing w:beforeAutospacing="0" w:afterAutospacing="0" w:line="540" w:lineRule="exact"/>
        <w:ind w:left="640"/>
        <w:jc w:val="both"/>
        <w:rPr>
          <w:rFonts w:ascii="仿宋" w:hAnsi="仿宋" w:eastAsia="仿宋" w:cs="仿宋"/>
          <w:b/>
          <w:bCs/>
          <w:sz w:val="32"/>
          <w:szCs w:val="32"/>
        </w:rPr>
      </w:pPr>
      <w:r>
        <w:rPr>
          <w:rFonts w:hint="eastAsia" w:ascii="仿宋" w:hAnsi="仿宋" w:eastAsia="仿宋" w:cs="仿宋"/>
          <w:b/>
          <w:bCs/>
          <w:sz w:val="32"/>
          <w:szCs w:val="32"/>
        </w:rPr>
        <w:t>具体安排：</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活动时间：8月20日起</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参与主体：所有参赛学生</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活动形式：</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学生导师互选（8月20日起）。参赛项目团队通过大赛平台了解创业导师基本情况、擅长领域，每个团队最多向10个创业导师发出邀请。创业导师根据参赛项目“公开展示信息”了解项目、选择结对项目，每位导师最多结对10个。</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（2）举办“导师-学生”双选会（9月上旬）。未被导师选中的参赛项目、未被参赛团队选满的导师，国赛组委会集中开展1-2次“导师-学生”双选会。</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（3）结对完成后，常态化开展导师团队内部分享会、项目指导。</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7.挑战杯·资源对接会。</w:t>
      </w:r>
      <w:r>
        <w:rPr>
          <w:rFonts w:hint="eastAsia" w:ascii="仿宋_GB2312" w:hAnsi="仿宋_GB2312" w:eastAsia="仿宋_GB2312" w:cs="仿宋_GB2312"/>
          <w:sz w:val="32"/>
          <w:szCs w:val="32"/>
        </w:rPr>
        <w:t>邀请创业服务机构、投资机构、孵化器、园区等入驻大赛平台，开展在线对接活动，为有需求的项目提供服务支持。</w:t>
      </w:r>
    </w:p>
    <w:p>
      <w:pPr>
        <w:pStyle w:val="4"/>
        <w:widowControl/>
        <w:spacing w:beforeAutospacing="0" w:afterAutospacing="0" w:line="540" w:lineRule="exact"/>
        <w:ind w:firstLine="640"/>
        <w:jc w:val="both"/>
        <w:rPr>
          <w:rFonts w:ascii="仿宋" w:hAnsi="仿宋" w:eastAsia="仿宋" w:cs="仿宋"/>
          <w:b/>
          <w:bCs/>
          <w:sz w:val="32"/>
          <w:szCs w:val="32"/>
        </w:rPr>
      </w:pPr>
      <w:r>
        <w:rPr>
          <w:rFonts w:hint="eastAsia" w:ascii="仿宋" w:hAnsi="仿宋" w:eastAsia="仿宋" w:cs="仿宋"/>
          <w:b/>
          <w:bCs/>
          <w:sz w:val="32"/>
          <w:szCs w:val="32"/>
        </w:rPr>
        <w:t>具体安排：</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活动时间：9月-11月</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参与主体：有融资和创业孵化需求的参赛团队、创业投资机构和孵化机构人员</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活动形式：</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（1）开始资源对接（9月初）。参赛团队通过大赛平台了解投资人投资领域，投资人根据参赛项目提交材料选择投资对象，每个参赛团队最多向10个投资人提出资源对接需求。</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（2）举办资源对接会（9月中下旬）。针对未对接成功的参赛项目团队，国赛组委会集中开展在线资源对接会。</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（3）决赛期间，举办获奖项目对接会。针对有融资和创业孵化需求的全国金、银、铜奖获奖项目，国赛组委会集中开展项目资源对接会。</w:t>
      </w:r>
    </w:p>
    <w:p>
      <w:pPr>
        <w:pStyle w:val="4"/>
        <w:widowControl/>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8.挑战杯·畅想2050。</w:t>
      </w:r>
      <w:r>
        <w:rPr>
          <w:rFonts w:hint="eastAsia" w:ascii="仿宋_GB2312" w:hAnsi="仿宋_GB2312" w:eastAsia="仿宋_GB2312" w:cs="仿宋_GB2312"/>
          <w:sz w:val="32"/>
          <w:szCs w:val="32"/>
        </w:rPr>
        <w:t>鼓励大学生站在第一个百年奋斗目标实现的节点上，以短视频等新媒体形式，畅想和展望第二个百年奋斗目标实现之时，中国经济社会各领域、各行业的创新发展，树立为实现中华民族伟大复兴的中国梦而砥砺奋斗的青春之志。</w:t>
      </w:r>
    </w:p>
    <w:p>
      <w:pPr>
        <w:pStyle w:val="4"/>
        <w:widowControl/>
        <w:spacing w:beforeAutospacing="0" w:afterAutospacing="0" w:line="540" w:lineRule="exact"/>
        <w:ind w:firstLine="640"/>
        <w:jc w:val="both"/>
        <w:rPr>
          <w:rFonts w:ascii="仿宋" w:hAnsi="仿宋" w:eastAsia="仿宋" w:cs="仿宋"/>
          <w:b/>
          <w:bCs/>
          <w:sz w:val="32"/>
          <w:szCs w:val="32"/>
        </w:rPr>
      </w:pPr>
      <w:r>
        <w:rPr>
          <w:rFonts w:hint="eastAsia" w:ascii="仿宋" w:hAnsi="仿宋" w:eastAsia="仿宋" w:cs="仿宋"/>
          <w:b/>
          <w:bCs/>
          <w:sz w:val="32"/>
          <w:szCs w:val="32"/>
        </w:rPr>
        <w:t>具体安排：</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活动时间：8月-9月</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参与主体：</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大学生</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活动形式：</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（1）上传作品（9月20日前）。学生上传短视频（1.5分钟以内）、漫画（图画）、文本等形式的畅想作品。参赛学生提交任意形式的作品，经学校审核后即得积分。</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（2）推荐作品（9月25日前）。各校审核并推荐优秀作品（每类作品最多推荐1件）。</w:t>
      </w:r>
    </w:p>
    <w:p>
      <w:pPr>
        <w:pStyle w:val="4"/>
        <w:widowControl/>
        <w:spacing w:beforeAutospacing="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（3）作品展示（10月-11月）。国赛组委会分类遴选作品，以优秀作品展方式宣传。同时，制作视频等形式的作品集锦，在全国决赛期间宣传。</w:t>
      </w:r>
    </w:p>
    <w:p>
      <w:pPr>
        <w:pStyle w:val="4"/>
        <w:shd w:val="clear" w:color="050000" w:fill="FFFFFF"/>
        <w:adjustRightInd w:val="0"/>
        <w:snapToGrid w:val="0"/>
        <w:spacing w:beforeAutospacing="0" w:afterAutospacing="0" w:line="540" w:lineRule="exact"/>
        <w:ind w:firstLine="640" w:firstLineChars="200"/>
        <w:jc w:val="both"/>
        <w:rPr>
          <w:rFonts w:ascii="黑体" w:hAnsi="黑体" w:eastAsia="黑体"/>
          <w:kern w:val="32"/>
          <w:sz w:val="32"/>
          <w:szCs w:val="32"/>
        </w:rPr>
      </w:pPr>
      <w:r>
        <w:rPr>
          <w:rFonts w:hint="eastAsia" w:ascii="黑体" w:hAnsi="黑体" w:eastAsia="黑体"/>
          <w:kern w:val="32"/>
          <w:sz w:val="32"/>
          <w:szCs w:val="32"/>
        </w:rPr>
        <w:t>五、其他事项</w:t>
      </w:r>
    </w:p>
    <w:p>
      <w:pPr>
        <w:pStyle w:val="12"/>
        <w:snapToGrid w:val="0"/>
        <w:spacing w:line="54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1.参赛项目评审采取盲评形式，参赛项目申报表、项目相关证明材料中不得出现与作者或所在学校相关的信息。</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2.组委会将严格保守参赛项目涉及的技术秘密和商业秘密，参赛者与发明创造或专利技术持有人的一切纠纷与组委会无关。</w:t>
      </w:r>
    </w:p>
    <w:p>
      <w:pPr>
        <w:pStyle w:val="12"/>
        <w:snapToGrid w:val="0"/>
        <w:spacing w:line="54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3.组委会将对作者和项目的资格进行审查，对于不符合参赛资格或弄虚作假者，一经查实，立即取消其参赛资格。</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大赛结束后，对获奖项目保留15天的质疑投诉期。若收到投诉，大赛组委会将进行调查。经调查，如确认该项目资格不符者，取消该项目获得的奖励，并视情节给予所在学校取消参赛资格或其它处罚。大赛组委会不接受匿名投诉，将保护实名投诉人的合法权益。</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5.对于涉及以下相关内容的项目，申报时需提供所规定材料。即：</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动植物新品种的发现或培育，须有省级以上农科部门或科研院所开具证明；</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对国家保护动植物的研究，须有省级以上林业部门开具证明，证明该项研究的过程中未产生对所研究的动植物繁衍、生长不利的影响；</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新药物的研究须有卫生行政部门授权机构或具有同等资质机构的鉴定证明；</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医疗卫生研究须通过专家鉴定，并最好附有在公开发行的专业性杂志上发表过的文章；</w:t>
      </w:r>
    </w:p>
    <w:p>
      <w:pPr>
        <w:adjustRightInd w:val="0"/>
        <w:snapToGri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涉及燃气用具等与人民生命财产安全有关用具的研究，须有国家相应行政部门授权机构的认定证明。</w:t>
      </w:r>
    </w:p>
    <w:p>
      <w:pPr>
        <w:widowControl/>
        <w:adjustRightInd w:val="0"/>
        <w:snapToGrid w:val="0"/>
        <w:spacing w:after="318" w:afterLines="100" w:line="540" w:lineRule="exact"/>
        <w:jc w:val="left"/>
        <w:rPr>
          <w:rFonts w:ascii="黑体" w:hAnsi="黑体" w:eastAsia="黑体" w:cs="黑体"/>
          <w:kern w:val="0"/>
          <w:sz w:val="44"/>
          <w:szCs w:val="44"/>
        </w:rPr>
      </w:pPr>
      <w:r>
        <w:rPr>
          <w:rFonts w:hint="eastAsia" w:ascii="黑体" w:hAnsi="黑体" w:eastAsia="黑体" w:cs="黑体"/>
          <w:kern w:val="0"/>
          <w:sz w:val="32"/>
          <w:szCs w:val="32"/>
        </w:rPr>
        <w:t xml:space="preserve">附件2 </w:t>
      </w:r>
    </w:p>
    <w:p>
      <w:pPr>
        <w:spacing w:line="520" w:lineRule="exact"/>
        <w:jc w:val="center"/>
        <w:rPr>
          <w:rFonts w:eastAsia="方正小标宋简体"/>
          <w:sz w:val="44"/>
          <w:szCs w:val="44"/>
        </w:rPr>
      </w:pPr>
      <w:r>
        <w:rPr>
          <w:rFonts w:hint="eastAsia" w:eastAsia="方正小标宋简体"/>
          <w:sz w:val="44"/>
          <w:szCs w:val="44"/>
        </w:rPr>
        <w:t>评审要点</w:t>
      </w:r>
    </w:p>
    <w:p>
      <w:pPr>
        <w:spacing w:line="200" w:lineRule="exact"/>
        <w:jc w:val="left"/>
        <w:rPr>
          <w:rFonts w:eastAsia="方正楷体_GBK"/>
          <w:sz w:val="32"/>
          <w:szCs w:val="32"/>
        </w:rPr>
      </w:pPr>
    </w:p>
    <w:tbl>
      <w:tblPr>
        <w:tblStyle w:val="10"/>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89" w:type="dxa"/>
            <w:shd w:val="clear" w:color="auto" w:fill="auto"/>
            <w:vAlign w:val="center"/>
          </w:tcPr>
          <w:p>
            <w:pPr>
              <w:spacing w:line="480" w:lineRule="exact"/>
              <w:jc w:val="center"/>
              <w:rPr>
                <w:rFonts w:ascii="黑体" w:hAnsi="黑体" w:eastAsia="黑体" w:cs="黑体"/>
                <w:bCs/>
                <w:sz w:val="28"/>
                <w:szCs w:val="28"/>
              </w:rPr>
            </w:pPr>
            <w:r>
              <w:rPr>
                <w:rFonts w:hint="eastAsia" w:ascii="黑体" w:hAnsi="黑体" w:eastAsia="黑体" w:cs="黑体"/>
                <w:bCs/>
                <w:sz w:val="28"/>
                <w:szCs w:val="28"/>
              </w:rPr>
              <w:t>评审要点</w:t>
            </w:r>
          </w:p>
        </w:tc>
        <w:tc>
          <w:tcPr>
            <w:tcW w:w="7116" w:type="dxa"/>
            <w:shd w:val="clear" w:color="auto" w:fill="auto"/>
            <w:vAlign w:val="center"/>
          </w:tcPr>
          <w:p>
            <w:pPr>
              <w:spacing w:line="480" w:lineRule="exact"/>
              <w:jc w:val="center"/>
              <w:rPr>
                <w:rFonts w:ascii="黑体" w:hAnsi="黑体" w:eastAsia="黑体" w:cs="黑体"/>
                <w:bCs/>
                <w:sz w:val="28"/>
                <w:szCs w:val="28"/>
              </w:rPr>
            </w:pPr>
            <w:r>
              <w:rPr>
                <w:rFonts w:hint="eastAsia" w:ascii="黑体" w:hAnsi="黑体" w:eastAsia="黑体" w:cs="黑体"/>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社会价值</w:t>
            </w:r>
          </w:p>
        </w:tc>
        <w:tc>
          <w:tcPr>
            <w:tcW w:w="7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项目结合社会实践、社会观察，履行社会责任的做法与成效。在科技创新、扶贫助困、社会民生、生态环保、交流合作等方面的社会贡献度。未来在持续吸纳、带动就业的能力等。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1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实践过程</w:t>
            </w:r>
          </w:p>
        </w:tc>
        <w:tc>
          <w:tcPr>
            <w:tcW w:w="7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项目通过深入社会、行业、实验场所、实训基地，开展调查研究、试点运营、试验论证，获得实践成果。项目成果对于了解社会现状、掌握第一手资料、解决社会问题等具有参考价值。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bookmarkStart w:id="0" w:name="_Hlk42610865"/>
            <w:r>
              <w:rPr>
                <w:rFonts w:hint="eastAsia" w:ascii="仿宋_GB2312" w:hAnsi="仿宋_GB2312" w:eastAsia="仿宋_GB2312" w:cs="仿宋_GB2312"/>
                <w:kern w:val="0"/>
                <w:sz w:val="32"/>
                <w:szCs w:val="32"/>
                <w:lang w:val="en-US" w:eastAsia="zh-CN" w:bidi="ar-SA"/>
              </w:rPr>
              <w:t>创新</w:t>
            </w:r>
            <w:bookmarkEnd w:id="0"/>
            <w:r>
              <w:rPr>
                <w:rFonts w:hint="eastAsia" w:ascii="仿宋_GB2312" w:hAnsi="仿宋_GB2312" w:eastAsia="仿宋_GB2312" w:cs="仿宋_GB2312"/>
                <w:kern w:val="0"/>
                <w:sz w:val="32"/>
                <w:szCs w:val="32"/>
                <w:lang w:val="en-US" w:eastAsia="zh-CN" w:bidi="ar-SA"/>
              </w:rPr>
              <w:t>意义</w:t>
            </w:r>
          </w:p>
        </w:tc>
        <w:tc>
          <w:tcPr>
            <w:tcW w:w="7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项目在科学技术、社会服务形式、商业模式、管理运营、应用场景等方面的创新程度。创新成果对于赋能传统产业、解决社会问题，助力形成新产业、新业态、新模式有积极意义。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发展前景</w:t>
            </w:r>
          </w:p>
        </w:tc>
        <w:tc>
          <w:tcPr>
            <w:tcW w:w="7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项目在商业模式、营销策略、财务管理、发展战略等方面设计完整、合理、可行。目标定位、市场分析清晰、有前瞻性。盈利能力推导过程合理，能够实现可持续发展、前景乐观。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1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团队协作</w:t>
            </w:r>
          </w:p>
        </w:tc>
        <w:tc>
          <w:tcPr>
            <w:tcW w:w="7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团队成员了解社会现状、关注社会民生，具备一定解决社会问题的能力和水平。团队成员的专业背景、创业意识、创业素质、价值观念与项目需求相匹配。团队组织架构与分工合理，凝聚力、执行力、整体竞争力强。</w:t>
            </w:r>
          </w:p>
        </w:tc>
      </w:tr>
    </w:tbl>
    <w:p>
      <w:pPr>
        <w:widowControl/>
        <w:adjustRightInd w:val="0"/>
        <w:snapToGrid w:val="0"/>
        <w:spacing w:after="318" w:afterLines="100" w:line="600" w:lineRule="exact"/>
        <w:jc w:val="left"/>
        <w:rPr>
          <w:rFonts w:ascii="黑体" w:hAnsi="黑体" w:eastAsia="黑体" w:cs="黑体"/>
          <w:kern w:val="0"/>
          <w:sz w:val="32"/>
          <w:szCs w:val="32"/>
        </w:rPr>
      </w:pPr>
      <w:r>
        <w:rPr>
          <w:rFonts w:hint="eastAsia" w:ascii="黑体" w:hAnsi="黑体" w:eastAsia="黑体" w:cs="黑体"/>
          <w:kern w:val="0"/>
          <w:sz w:val="32"/>
          <w:szCs w:val="32"/>
        </w:rPr>
        <w:t>附件3</w:t>
      </w:r>
    </w:p>
    <w:p>
      <w:pPr>
        <w:widowControl/>
        <w:adjustRightInd w:val="0"/>
        <w:snapToGrid w:val="0"/>
        <w:spacing w:after="318" w:afterLines="100" w:line="600" w:lineRule="exact"/>
        <w:jc w:val="center"/>
        <w:rPr>
          <w:rFonts w:ascii="方正小标宋简体" w:hAnsi="新宋体" w:eastAsia="方正小标宋简体" w:cs="宋体"/>
          <w:kern w:val="0"/>
          <w:sz w:val="44"/>
          <w:szCs w:val="44"/>
        </w:rPr>
      </w:pPr>
      <w:r>
        <w:rPr>
          <w:rFonts w:hint="eastAsia" w:ascii="方正小标宋简体" w:hAnsi="新宋体" w:eastAsia="方正小标宋简体" w:cs="宋体"/>
          <w:kern w:val="0"/>
          <w:sz w:val="44"/>
          <w:szCs w:val="44"/>
        </w:rPr>
        <w:t>参赛项目申报表</w:t>
      </w:r>
    </w:p>
    <w:tbl>
      <w:tblPr>
        <w:tblStyle w:val="10"/>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900"/>
        <w:gridCol w:w="930"/>
        <w:gridCol w:w="870"/>
        <w:gridCol w:w="317"/>
        <w:gridCol w:w="1378"/>
        <w:gridCol w:w="134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所在省</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（区、市）</w:t>
            </w:r>
          </w:p>
        </w:tc>
        <w:tc>
          <w:tcPr>
            <w:tcW w:w="3017" w:type="dxa"/>
            <w:gridSpan w:val="4"/>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2727" w:type="dxa"/>
            <w:gridSpan w:val="2"/>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学校名称</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（全称）</w:t>
            </w:r>
          </w:p>
        </w:tc>
        <w:tc>
          <w:tcPr>
            <w:tcW w:w="1696"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项目名称</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项目分类</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Ⅰ：普通高校    Ⅱ：职业院校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分组</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A.科技创新和未来产业</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B.乡村振兴和脱贫攻坚 </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C.城市治理和社会服务</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D.生态环保和可持续发展 </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E.文化创意和区域合作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200" w:type="dxa"/>
            <w:vMerge w:val="restart"/>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团队成员</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（最多10人）</w:t>
            </w:r>
          </w:p>
        </w:tc>
        <w:tc>
          <w:tcPr>
            <w:tcW w:w="9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姓名</w:t>
            </w:r>
          </w:p>
        </w:tc>
        <w:tc>
          <w:tcPr>
            <w:tcW w:w="93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性别</w:t>
            </w:r>
          </w:p>
        </w:tc>
        <w:tc>
          <w:tcPr>
            <w:tcW w:w="87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学院</w:t>
            </w:r>
          </w:p>
        </w:tc>
        <w:tc>
          <w:tcPr>
            <w:tcW w:w="1695" w:type="dxa"/>
            <w:gridSpan w:val="2"/>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年级、专业</w:t>
            </w:r>
          </w:p>
        </w:tc>
        <w:tc>
          <w:tcPr>
            <w:tcW w:w="1349"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手机</w:t>
            </w:r>
          </w:p>
        </w:tc>
        <w:tc>
          <w:tcPr>
            <w:tcW w:w="1696"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备注</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2200" w:type="dxa"/>
            <w:vMerge w:val="continue"/>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90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93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87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5" w:type="dxa"/>
            <w:gridSpan w:val="2"/>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349"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6"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200" w:type="dxa"/>
            <w:vMerge w:val="continue"/>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90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93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87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5" w:type="dxa"/>
            <w:gridSpan w:val="2"/>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349"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6"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200" w:type="dxa"/>
            <w:vMerge w:val="continue"/>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90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93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87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5" w:type="dxa"/>
            <w:gridSpan w:val="2"/>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349"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6"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2200" w:type="dxa"/>
            <w:vMerge w:val="restart"/>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指导教师</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（最多3人）</w:t>
            </w:r>
          </w:p>
        </w:tc>
        <w:tc>
          <w:tcPr>
            <w:tcW w:w="9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姓名</w:t>
            </w:r>
          </w:p>
        </w:tc>
        <w:tc>
          <w:tcPr>
            <w:tcW w:w="93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性别</w:t>
            </w:r>
          </w:p>
        </w:tc>
        <w:tc>
          <w:tcPr>
            <w:tcW w:w="87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学院</w:t>
            </w:r>
          </w:p>
        </w:tc>
        <w:tc>
          <w:tcPr>
            <w:tcW w:w="1695" w:type="dxa"/>
            <w:gridSpan w:val="2"/>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职称</w:t>
            </w:r>
          </w:p>
        </w:tc>
        <w:tc>
          <w:tcPr>
            <w:tcW w:w="1349"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职务</w:t>
            </w:r>
          </w:p>
        </w:tc>
        <w:tc>
          <w:tcPr>
            <w:tcW w:w="1696"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2200" w:type="dxa"/>
            <w:vMerge w:val="continue"/>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9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93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87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1695" w:type="dxa"/>
            <w:gridSpan w:val="2"/>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c>
          <w:tcPr>
            <w:tcW w:w="1349"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1696"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项目简介</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2200" w:type="dxa"/>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社会价值</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实践过程</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创新意义</w:t>
            </w:r>
          </w:p>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发展前景</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tc>
        <w:tc>
          <w:tcPr>
            <w:tcW w:w="7440" w:type="dxa"/>
            <w:gridSpan w:val="7"/>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团队协作</w:t>
            </w:r>
          </w:p>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（500字以内）</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项目介绍材料</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2200" w:type="dxa"/>
            <w:vAlign w:val="center"/>
          </w:tcPr>
          <w:p>
            <w:pPr>
              <w:adjustRightInd w:val="0"/>
              <w:snapToGrid w:val="0"/>
              <w:spacing w:line="30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其他相关证明材料</w:t>
            </w:r>
          </w:p>
        </w:tc>
        <w:tc>
          <w:tcPr>
            <w:tcW w:w="7440" w:type="dxa"/>
            <w:gridSpan w:val="7"/>
            <w:vAlign w:val="center"/>
          </w:tcPr>
          <w:p>
            <w:pPr>
              <w:adjustRightInd w:val="0"/>
              <w:snapToGrid w:val="0"/>
              <w:spacing w:line="3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选报</w:t>
            </w:r>
          </w:p>
        </w:tc>
      </w:tr>
    </w:tbl>
    <w:p>
      <w:pPr>
        <w:adjustRightInd w:val="0"/>
        <w:snapToGrid w:val="0"/>
        <w:spacing w:line="500" w:lineRule="exac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说明：</w:t>
      </w:r>
    </w:p>
    <w:p>
      <w:pPr>
        <w:adjustRightInd w:val="0"/>
        <w:snapToGrid w:val="0"/>
        <w:spacing w:line="500" w:lineRule="exact"/>
        <w:ind w:firstLine="56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1.本表用于大赛评审，仅对大赛组委会和评委可见；</w:t>
      </w:r>
    </w:p>
    <w:p>
      <w:pPr>
        <w:keepNext w:val="0"/>
        <w:keepLines w:val="0"/>
        <w:pageBreakBefore w:val="0"/>
        <w:widowControl w:val="0"/>
        <w:kinsoku/>
        <w:wordWrap/>
        <w:overflowPunct/>
        <w:topLinePunct w:val="0"/>
        <w:autoSpaceDE/>
        <w:autoSpaceDN/>
        <w:bidi w:val="0"/>
        <w:adjustRightInd w:val="0"/>
        <w:snapToGrid w:val="0"/>
        <w:spacing w:line="500" w:lineRule="exact"/>
        <w:ind w:left="320" w:leftChars="0" w:right="0" w:rightChars="0" w:hanging="320" w:hangingChars="1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2.项目介绍材料为20页以内PPT（转PDF格式），仅上传</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PDF文档。如PPT超过20页的，系统自动选取前20页内容，不再反馈参赛项目团队；如上传的为非PDF格式，系统将自动生成PDF文档，不再反馈参赛项目团队；</w:t>
      </w:r>
    </w:p>
    <w:p>
      <w:pPr>
        <w:spacing w:line="500" w:lineRule="exact"/>
        <w:ind w:firstLine="57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3.其他相关证明材料需扫描在同一PDF文档上传；</w:t>
      </w:r>
    </w:p>
    <w:p>
      <w:pPr>
        <w:spacing w:line="500" w:lineRule="exact"/>
        <w:ind w:firstLine="570"/>
        <w:rPr>
          <w:rFonts w:ascii="仿宋_GB2312" w:hAnsi="仿宋_GB2312" w:eastAsia="仿宋_GB2312" w:cs="仿宋_GB2312"/>
          <w:sz w:val="28"/>
          <w:szCs w:val="28"/>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b/>
          <w:bCs/>
          <w:kern w:val="0"/>
          <w:sz w:val="32"/>
          <w:szCs w:val="32"/>
          <w:lang w:val="en-US" w:eastAsia="zh-CN" w:bidi="ar-SA"/>
        </w:rPr>
        <w:t>填报时需特别注意</w:t>
      </w:r>
      <w:r>
        <w:rPr>
          <w:rFonts w:hint="eastAsia" w:ascii="仿宋_GB2312" w:hAnsi="仿宋_GB2312" w:eastAsia="仿宋_GB2312" w:cs="仿宋_GB2312"/>
          <w:kern w:val="0"/>
          <w:sz w:val="32"/>
          <w:szCs w:val="32"/>
          <w:lang w:val="en-US" w:eastAsia="zh-CN" w:bidi="ar-SA"/>
        </w:rPr>
        <w:t>，除所在</w:t>
      </w:r>
      <w:r>
        <w:rPr>
          <w:rFonts w:hint="eastAsia" w:ascii="仿宋_GB2312" w:hAnsi="仿宋_GB2312" w:eastAsia="仿宋_GB2312" w:cs="仿宋_GB2312"/>
          <w:b/>
          <w:bCs/>
          <w:kern w:val="0"/>
          <w:sz w:val="32"/>
          <w:szCs w:val="32"/>
          <w:lang w:val="en-US" w:eastAsia="zh-CN" w:bidi="ar-SA"/>
        </w:rPr>
        <w:t>省、所在学校、指导老师</w:t>
      </w:r>
      <w:r>
        <w:rPr>
          <w:rFonts w:hint="eastAsia" w:ascii="仿宋_GB2312" w:hAnsi="仿宋_GB2312" w:eastAsia="仿宋_GB2312" w:cs="仿宋_GB2312"/>
          <w:kern w:val="0"/>
          <w:sz w:val="32"/>
          <w:szCs w:val="32"/>
          <w:lang w:val="en-US" w:eastAsia="zh-CN" w:bidi="ar-SA"/>
        </w:rPr>
        <w:t>三栏外，其他填报的内容中须隐去任何形式的学校名、学校标志或导师姓名等信息。经大赛组委会资格审查，如发现涉及以上相关信息的，将酌情扣减相应分数。</w:t>
      </w:r>
    </w:p>
    <w:p>
      <w:pPr>
        <w:spacing w:line="500" w:lineRule="exact"/>
        <w:ind w:firstLine="570"/>
        <w:rPr>
          <w:rFonts w:ascii="仿宋_GB2312" w:hAnsi="仿宋_GB2312" w:eastAsia="仿宋_GB2312" w:cs="仿宋_GB2312"/>
          <w:sz w:val="28"/>
          <w:szCs w:val="28"/>
        </w:rPr>
      </w:pPr>
    </w:p>
    <w:p>
      <w:pPr>
        <w:spacing w:line="500" w:lineRule="exact"/>
        <w:ind w:firstLine="570"/>
        <w:rPr>
          <w:rFonts w:ascii="仿宋_GB2312" w:hAnsi="仿宋_GB2312" w:eastAsia="仿宋_GB2312" w:cs="仿宋_GB2312"/>
          <w:sz w:val="28"/>
          <w:szCs w:val="28"/>
        </w:rPr>
      </w:pPr>
    </w:p>
    <w:p>
      <w:pPr>
        <w:spacing w:line="500" w:lineRule="exact"/>
        <w:ind w:firstLine="570"/>
        <w:rPr>
          <w:rFonts w:ascii="仿宋_GB2312" w:hAnsi="仿宋_GB2312" w:eastAsia="仿宋_GB2312" w:cs="仿宋_GB2312"/>
          <w:sz w:val="28"/>
          <w:szCs w:val="28"/>
        </w:rPr>
      </w:pPr>
    </w:p>
    <w:p>
      <w:pPr>
        <w:spacing w:line="500" w:lineRule="exact"/>
        <w:ind w:firstLine="570"/>
        <w:rPr>
          <w:rFonts w:ascii="仿宋_GB2312" w:hAnsi="仿宋_GB2312" w:eastAsia="仿宋_GB2312" w:cs="仿宋_GB2312"/>
          <w:sz w:val="28"/>
          <w:szCs w:val="28"/>
        </w:rPr>
      </w:pPr>
    </w:p>
    <w:p>
      <w:pPr>
        <w:spacing w:line="500" w:lineRule="exact"/>
        <w:ind w:firstLine="570"/>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pStyle w:val="11"/>
        <w:adjustRightInd w:val="0"/>
        <w:snapToGrid w:val="0"/>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附件4</w:t>
      </w:r>
    </w:p>
    <w:p>
      <w:pPr>
        <w:pStyle w:val="11"/>
        <w:adjustRightInd w:val="0"/>
        <w:snapToGrid w:val="0"/>
        <w:spacing w:line="600" w:lineRule="exact"/>
        <w:rPr>
          <w:rFonts w:hint="eastAsia" w:ascii="黑体" w:hAnsi="宋体" w:eastAsia="黑体" w:cs="宋体"/>
          <w:kern w:val="0"/>
          <w:sz w:val="32"/>
          <w:szCs w:val="32"/>
        </w:rPr>
      </w:pPr>
    </w:p>
    <w:p>
      <w:pPr>
        <w:pStyle w:val="5"/>
        <w:spacing w:line="560" w:lineRule="exact"/>
        <w:rPr>
          <w:rFonts w:ascii="Calibri" w:hAnsi="Calibri" w:eastAsia="方正小标宋简体"/>
          <w:bCs w:val="0"/>
          <w:szCs w:val="44"/>
        </w:rPr>
      </w:pPr>
      <w:r>
        <w:rPr>
          <w:rFonts w:hint="eastAsia" w:ascii="Calibri" w:hAnsi="Calibri" w:eastAsia="方正小标宋简体"/>
          <w:bCs w:val="0"/>
          <w:szCs w:val="44"/>
        </w:rPr>
        <w:t>参赛项目公开展示信息表</w:t>
      </w:r>
    </w:p>
    <w:p>
      <w:pPr>
        <w:spacing w:line="560" w:lineRule="exact"/>
        <w:ind w:firstLine="640"/>
        <w:rPr>
          <w:rFonts w:ascii="方正仿宋_GBK" w:hAnsi="方正仿宋_GBK" w:eastAsia="方正仿宋_GBK" w:cs="方正仿宋_GBK"/>
        </w:rPr>
      </w:pPr>
    </w:p>
    <w:tbl>
      <w:tblPr>
        <w:tblStyle w:val="10"/>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项目名称</w:t>
            </w:r>
          </w:p>
        </w:tc>
        <w:tc>
          <w:tcPr>
            <w:tcW w:w="7344" w:type="dxa"/>
            <w:vAlign w:val="center"/>
          </w:tcPr>
          <w:p>
            <w:pPr>
              <w:pStyle w:val="11"/>
              <w:adjustRightInd w:val="0"/>
              <w:snapToGrid w:val="0"/>
              <w:spacing w:line="600" w:lineRule="exact"/>
              <w:jc w:val="center"/>
              <w:rPr>
                <w:rFonts w:ascii="黑体" w:hAns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参赛学校</w:t>
            </w:r>
          </w:p>
        </w:tc>
        <w:tc>
          <w:tcPr>
            <w:tcW w:w="7344" w:type="dxa"/>
            <w:vAlign w:val="center"/>
          </w:tcPr>
          <w:p>
            <w:pPr>
              <w:pStyle w:val="11"/>
              <w:adjustRightInd w:val="0"/>
              <w:snapToGrid w:val="0"/>
              <w:spacing w:line="600" w:lineRule="exact"/>
              <w:jc w:val="center"/>
              <w:rPr>
                <w:rFonts w:ascii="黑体" w:hAns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项目类型</w:t>
            </w:r>
          </w:p>
        </w:tc>
        <w:tc>
          <w:tcPr>
            <w:tcW w:w="7344" w:type="dxa"/>
            <w:vAlign w:val="center"/>
          </w:tcPr>
          <w:p>
            <w:pPr>
              <w:pStyle w:val="11"/>
              <w:adjustRightInd w:val="0"/>
              <w:snapToGrid w:val="0"/>
              <w:spacing w:line="600" w:lineRule="exact"/>
              <w:jc w:val="left"/>
              <w:rPr>
                <w:rFonts w:ascii="仿宋_GB2312" w:hAnsi="仿宋_GB2312" w:cs="仿宋_GB2312"/>
                <w:sz w:val="32"/>
                <w:szCs w:val="32"/>
              </w:rPr>
            </w:pPr>
            <w:r>
              <w:rPr>
                <w:rFonts w:hint="eastAsia" w:ascii="仿宋_GB2312" w:hAnsi="仿宋_GB2312" w:cs="仿宋_GB2312"/>
                <w:sz w:val="32"/>
                <w:szCs w:val="32"/>
              </w:rPr>
              <w:t>I. 普通高校   II. 职业院校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项目分组</w:t>
            </w:r>
          </w:p>
        </w:tc>
        <w:tc>
          <w:tcPr>
            <w:tcW w:w="7344" w:type="dxa"/>
            <w:vAlign w:val="center"/>
          </w:tcPr>
          <w:p>
            <w:pPr>
              <w:pStyle w:val="11"/>
              <w:adjustRightInd w:val="0"/>
              <w:snapToGrid w:val="0"/>
              <w:spacing w:line="500" w:lineRule="exact"/>
              <w:jc w:val="left"/>
              <w:rPr>
                <w:rFonts w:ascii="仿宋_GB2312" w:hAnsi="仿宋_GB2312" w:cs="仿宋_GB2312"/>
                <w:sz w:val="32"/>
                <w:szCs w:val="32"/>
              </w:rPr>
            </w:pPr>
            <w:r>
              <w:rPr>
                <w:rFonts w:hint="eastAsia" w:ascii="仿宋_GB2312" w:hAnsi="仿宋_GB2312" w:cs="仿宋_GB2312"/>
                <w:sz w:val="32"/>
                <w:szCs w:val="32"/>
              </w:rPr>
              <w:t>A. 科技创新和未来产业</w:t>
            </w:r>
          </w:p>
          <w:p>
            <w:pPr>
              <w:pStyle w:val="11"/>
              <w:adjustRightInd w:val="0"/>
              <w:snapToGrid w:val="0"/>
              <w:spacing w:line="500" w:lineRule="exact"/>
              <w:jc w:val="left"/>
              <w:rPr>
                <w:rFonts w:ascii="仿宋_GB2312" w:hAnsi="仿宋_GB2312" w:cs="仿宋_GB2312"/>
                <w:sz w:val="32"/>
                <w:szCs w:val="32"/>
              </w:rPr>
            </w:pPr>
            <w:r>
              <w:rPr>
                <w:rFonts w:hint="eastAsia" w:ascii="仿宋_GB2312" w:hAnsi="仿宋_GB2312" w:cs="仿宋_GB2312"/>
                <w:sz w:val="32"/>
                <w:szCs w:val="32"/>
              </w:rPr>
              <w:t>B. 乡村振兴和脱贫攻坚</w:t>
            </w:r>
          </w:p>
          <w:p>
            <w:pPr>
              <w:pStyle w:val="11"/>
              <w:adjustRightInd w:val="0"/>
              <w:snapToGrid w:val="0"/>
              <w:spacing w:line="500" w:lineRule="exact"/>
              <w:jc w:val="left"/>
              <w:rPr>
                <w:rFonts w:ascii="仿宋_GB2312" w:hAnsi="仿宋_GB2312" w:cs="仿宋_GB2312"/>
                <w:sz w:val="32"/>
                <w:szCs w:val="32"/>
              </w:rPr>
            </w:pPr>
            <w:r>
              <w:rPr>
                <w:rFonts w:hint="eastAsia" w:ascii="仿宋_GB2312" w:hAnsi="仿宋_GB2312" w:cs="仿宋_GB2312"/>
                <w:sz w:val="32"/>
                <w:szCs w:val="32"/>
              </w:rPr>
              <w:t>C. 城市治理和社会服务</w:t>
            </w:r>
          </w:p>
          <w:p>
            <w:pPr>
              <w:pStyle w:val="11"/>
              <w:adjustRightInd w:val="0"/>
              <w:snapToGrid w:val="0"/>
              <w:spacing w:line="500" w:lineRule="exact"/>
              <w:jc w:val="left"/>
              <w:rPr>
                <w:rFonts w:ascii="仿宋_GB2312" w:hAnsi="仿宋_GB2312" w:cs="仿宋_GB2312"/>
                <w:sz w:val="32"/>
                <w:szCs w:val="32"/>
              </w:rPr>
            </w:pPr>
            <w:r>
              <w:rPr>
                <w:rFonts w:hint="eastAsia" w:ascii="仿宋_GB2312" w:hAnsi="仿宋_GB2312" w:cs="仿宋_GB2312"/>
                <w:sz w:val="32"/>
                <w:szCs w:val="32"/>
              </w:rPr>
              <w:t>D. 生态环保和可持续发展</w:t>
            </w:r>
          </w:p>
          <w:p>
            <w:pPr>
              <w:pStyle w:val="11"/>
              <w:adjustRightInd w:val="0"/>
              <w:snapToGrid w:val="0"/>
              <w:spacing w:line="500" w:lineRule="exact"/>
              <w:jc w:val="left"/>
              <w:rPr>
                <w:rFonts w:ascii="仿宋_GB2312" w:hAnsi="仿宋_GB2312" w:cs="仿宋_GB2312"/>
                <w:sz w:val="32"/>
                <w:szCs w:val="32"/>
              </w:rPr>
            </w:pPr>
            <w:r>
              <w:rPr>
                <w:rFonts w:hint="eastAsia" w:ascii="仿宋_GB2312" w:hAnsi="仿宋_GB2312" w:cs="仿宋_GB2312"/>
                <w:sz w:val="32"/>
                <w:szCs w:val="32"/>
              </w:rPr>
              <w:t>E. 文化创意和区域合作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我们的项目</w:t>
            </w:r>
          </w:p>
        </w:tc>
        <w:tc>
          <w:tcPr>
            <w:tcW w:w="7344" w:type="dxa"/>
            <w:vAlign w:val="center"/>
          </w:tcPr>
          <w:p>
            <w:pPr>
              <w:pStyle w:val="11"/>
              <w:adjustRightInd w:val="0"/>
              <w:snapToGrid w:val="0"/>
              <w:spacing w:line="600" w:lineRule="exact"/>
              <w:jc w:val="center"/>
              <w:rPr>
                <w:rFonts w:ascii="仿宋_GB2312" w:hAnsi="仿宋_GB2312" w:cs="仿宋_GB2312"/>
                <w:sz w:val="32"/>
                <w:szCs w:val="32"/>
              </w:rPr>
            </w:pPr>
            <w:r>
              <w:rPr>
                <w:rFonts w:hint="eastAsia" w:ascii="仿宋_GB2312" w:hAnsi="仿宋_GB2312" w:cs="仿宋_GB2312"/>
                <w:sz w:val="32"/>
                <w:szCs w:val="32"/>
              </w:rPr>
              <w:t>150字以内，阐述项目的实践来源、社会背景、基本情况等。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我们的团队</w:t>
            </w:r>
          </w:p>
        </w:tc>
        <w:tc>
          <w:tcPr>
            <w:tcW w:w="7344" w:type="dxa"/>
            <w:vAlign w:val="center"/>
          </w:tcPr>
          <w:p>
            <w:pPr>
              <w:pStyle w:val="11"/>
              <w:adjustRightInd w:val="0"/>
              <w:snapToGrid w:val="0"/>
              <w:spacing w:line="600" w:lineRule="exact"/>
              <w:jc w:val="center"/>
              <w:rPr>
                <w:rFonts w:ascii="仿宋_GB2312" w:hAnsi="仿宋_GB2312" w:cs="仿宋_GB2312"/>
                <w:sz w:val="32"/>
                <w:szCs w:val="32"/>
              </w:rPr>
            </w:pPr>
            <w:r>
              <w:rPr>
                <w:rFonts w:hint="eastAsia" w:ascii="仿宋_GB2312" w:hAnsi="仿宋_GB2312" w:cs="仿宋_GB2312"/>
                <w:sz w:val="32"/>
                <w:szCs w:val="32"/>
              </w:rPr>
              <w:t>2张照片，团队实践、团队合影、项目照片均可。</w:t>
            </w:r>
          </w:p>
          <w:p>
            <w:pPr>
              <w:pStyle w:val="11"/>
              <w:adjustRightInd w:val="0"/>
              <w:snapToGrid w:val="0"/>
              <w:spacing w:line="600" w:lineRule="exact"/>
              <w:jc w:val="center"/>
              <w:rPr>
                <w:rFonts w:ascii="仿宋_GB2312" w:hAnsi="仿宋_GB2312" w:cs="仿宋_GB2312"/>
                <w:sz w:val="32"/>
                <w:szCs w:val="32"/>
              </w:rPr>
            </w:pPr>
            <w:r>
              <w:rPr>
                <w:rFonts w:hint="eastAsia" w:ascii="仿宋_GB2312" w:hAnsi="仿宋_GB2312" w:cs="仿宋_GB2312"/>
                <w:sz w:val="32"/>
                <w:szCs w:val="32"/>
              </w:rPr>
              <w:t>JPG格式，尺寸1920*1080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我们的口号</w:t>
            </w:r>
          </w:p>
        </w:tc>
        <w:tc>
          <w:tcPr>
            <w:tcW w:w="7344" w:type="dxa"/>
            <w:vAlign w:val="center"/>
          </w:tcPr>
          <w:p>
            <w:pPr>
              <w:pStyle w:val="11"/>
              <w:adjustRightInd w:val="0"/>
              <w:snapToGrid w:val="0"/>
              <w:spacing w:line="600" w:lineRule="exact"/>
              <w:jc w:val="center"/>
              <w:rPr>
                <w:rFonts w:ascii="仿宋_GB2312" w:hAnsi="仿宋_GB2312" w:cs="仿宋_GB2312"/>
                <w:sz w:val="32"/>
                <w:szCs w:val="32"/>
              </w:rPr>
            </w:pPr>
            <w:r>
              <w:rPr>
                <w:rFonts w:hint="eastAsia" w:ascii="仿宋_GB2312" w:hAnsi="仿宋_GB2312" w:cs="仿宋_GB2312"/>
                <w:sz w:val="32"/>
                <w:szCs w:val="32"/>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jc w:val="center"/>
        </w:trPr>
        <w:tc>
          <w:tcPr>
            <w:tcW w:w="2097" w:type="dxa"/>
            <w:vAlign w:val="center"/>
          </w:tcPr>
          <w:p>
            <w:pPr>
              <w:pStyle w:val="11"/>
              <w:adjustRightInd w:val="0"/>
              <w:snapToGrid w:val="0"/>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我们的实践日志（选填）</w:t>
            </w:r>
          </w:p>
        </w:tc>
        <w:tc>
          <w:tcPr>
            <w:tcW w:w="7344" w:type="dxa"/>
            <w:vAlign w:val="center"/>
          </w:tcPr>
          <w:p>
            <w:pPr>
              <w:pStyle w:val="11"/>
              <w:adjustRightInd w:val="0"/>
              <w:snapToGrid w:val="0"/>
              <w:spacing w:line="600" w:lineRule="exact"/>
              <w:jc w:val="center"/>
              <w:rPr>
                <w:rFonts w:ascii="仿宋_GB2312" w:hAnsi="仿宋_GB2312" w:cs="仿宋_GB2312"/>
                <w:sz w:val="32"/>
                <w:szCs w:val="32"/>
              </w:rPr>
            </w:pPr>
            <w:r>
              <w:rPr>
                <w:rFonts w:hint="eastAsia" w:ascii="仿宋_GB2312" w:hAnsi="仿宋_GB2312" w:cs="仿宋_GB2312"/>
                <w:sz w:val="32"/>
                <w:szCs w:val="32"/>
              </w:rPr>
              <w:t>flv视频格式，时长不超过2分钟，文件大小不超过300MB。</w:t>
            </w:r>
          </w:p>
        </w:tc>
      </w:tr>
    </w:tbl>
    <w:p>
      <w:pPr>
        <w:adjustRightInd w:val="0"/>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t>说明：用于参赛项目的展示宣传，全部信息均对外公布。</w:t>
      </w:r>
    </w:p>
    <w:p>
      <w:pPr>
        <w:spacing w:line="500" w:lineRule="exact"/>
        <w:rPr>
          <w:rFonts w:ascii="仿宋_GB2312" w:hAnsi="仿宋_GB2312" w:eastAsia="仿宋_GB2312" w:cs="仿宋_GB2312"/>
          <w:sz w:val="28"/>
          <w:szCs w:val="28"/>
        </w:rPr>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pPr>
    </w:p>
    <w:p>
      <w:pPr>
        <w:pStyle w:val="11"/>
        <w:adjustRightInd w:val="0"/>
        <w:snapToGrid w:val="0"/>
        <w:spacing w:line="600" w:lineRule="exact"/>
        <w:rPr>
          <w:rFonts w:ascii="黑体" w:hAnsi="宋体" w:eastAsia="黑体" w:cs="宋体"/>
          <w:kern w:val="0"/>
          <w:sz w:val="32"/>
          <w:szCs w:val="32"/>
        </w:rPr>
      </w:pPr>
      <w:r>
        <w:rPr>
          <w:rFonts w:hint="eastAsia" w:ascii="黑体" w:hAnsi="宋体" w:eastAsia="黑体" w:cs="宋体"/>
          <w:kern w:val="0"/>
          <w:sz w:val="32"/>
          <w:szCs w:val="32"/>
        </w:rPr>
        <w:t>附件5</w:t>
      </w:r>
    </w:p>
    <w:p>
      <w:pPr>
        <w:pStyle w:val="11"/>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第十一届“挑战杯”湖北省大学生创业计划竞赛</w:t>
      </w:r>
    </w:p>
    <w:p>
      <w:pPr>
        <w:pStyle w:val="11"/>
        <w:adjustRightInd w:val="0"/>
        <w:snapToGrid w:val="0"/>
        <w:spacing w:line="540" w:lineRule="exact"/>
        <w:jc w:val="center"/>
        <w:rPr>
          <w:rFonts w:ascii="方正小标宋简体" w:hAnsi="新宋体" w:eastAsia="方正小标宋简体" w:cs="宋体"/>
          <w:kern w:val="0"/>
          <w:sz w:val="44"/>
          <w:szCs w:val="44"/>
        </w:rPr>
      </w:pPr>
      <w:r>
        <w:rPr>
          <w:rFonts w:hint="eastAsia" w:ascii="方正小标宋简体" w:hAnsi="新宋体" w:eastAsia="方正小标宋简体" w:cs="宋体"/>
          <w:kern w:val="0"/>
          <w:sz w:val="44"/>
          <w:szCs w:val="44"/>
        </w:rPr>
        <w:t>省级复赛参赛项目汇总表</w:t>
      </w:r>
    </w:p>
    <w:p>
      <w:pPr>
        <w:pStyle w:val="11"/>
        <w:adjustRightInd w:val="0"/>
        <w:snapToGrid w:val="0"/>
        <w:spacing w:line="600" w:lineRule="exact"/>
        <w:rPr>
          <w:rFonts w:ascii="仿宋_GB2312" w:hAnsi="仿宋_GB2312" w:cs="仿宋_GB2312"/>
          <w:kern w:val="0"/>
          <w:sz w:val="32"/>
          <w:szCs w:val="32"/>
        </w:rPr>
      </w:pPr>
      <w:r>
        <w:rPr>
          <w:rFonts w:hint="eastAsia" w:ascii="仿宋_GB2312" w:hAnsi="仿宋_GB2312" w:cs="仿宋_GB2312"/>
          <w:kern w:val="0"/>
          <w:sz w:val="32"/>
          <w:szCs w:val="32"/>
        </w:rPr>
        <w:t>填报单位：</w:t>
      </w:r>
      <w:r>
        <w:rPr>
          <w:rFonts w:hint="eastAsia" w:ascii="仿宋_GB2312" w:hAnsi="仿宋_GB2312" w:cs="仿宋_GB2312"/>
          <w:kern w:val="0"/>
          <w:sz w:val="32"/>
          <w:szCs w:val="32"/>
          <w:u w:val="single"/>
        </w:rPr>
        <w:t xml:space="preserve">            </w:t>
      </w:r>
      <w:r>
        <w:rPr>
          <w:rFonts w:hint="eastAsia" w:ascii="仿宋_GB2312" w:hAnsi="仿宋_GB2312" w:cs="仿宋_GB2312"/>
          <w:kern w:val="0"/>
          <w:sz w:val="32"/>
          <w:szCs w:val="32"/>
        </w:rPr>
        <w:t>（盖章）           填报人：             手机号码：</w:t>
      </w:r>
    </w:p>
    <w:tbl>
      <w:tblPr>
        <w:tblStyle w:val="10"/>
        <w:tblW w:w="130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0"/>
        <w:gridCol w:w="2040"/>
        <w:gridCol w:w="2557"/>
        <w:gridCol w:w="1981"/>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黑体" w:hAnsi="黑体" w:eastAsia="黑体" w:cs="黑体"/>
                <w:kern w:val="0"/>
                <w:sz w:val="28"/>
                <w:szCs w:val="28"/>
              </w:rPr>
            </w:pPr>
            <w:r>
              <w:rPr>
                <w:rFonts w:hint="eastAsia" w:ascii="黑体" w:hAnsi="黑体" w:eastAsia="黑体" w:cs="黑体"/>
                <w:kern w:val="0"/>
                <w:sz w:val="28"/>
                <w:szCs w:val="28"/>
              </w:rPr>
              <w:t>项目名称</w:t>
            </w:r>
          </w:p>
        </w:tc>
        <w:tc>
          <w:tcPr>
            <w:tcW w:w="2040" w:type="dxa"/>
            <w:vAlign w:val="center"/>
          </w:tcPr>
          <w:p>
            <w:pPr>
              <w:pStyle w:val="11"/>
              <w:adjustRightInd w:val="0"/>
              <w:snapToGrid w:val="0"/>
              <w:spacing w:line="600" w:lineRule="exact"/>
              <w:jc w:val="center"/>
              <w:rPr>
                <w:rFonts w:ascii="黑体" w:hAnsi="黑体" w:eastAsia="黑体" w:cs="黑体"/>
                <w:kern w:val="0"/>
                <w:sz w:val="28"/>
                <w:szCs w:val="28"/>
              </w:rPr>
            </w:pPr>
            <w:r>
              <w:rPr>
                <w:rFonts w:hint="eastAsia" w:ascii="黑体" w:hAnsi="黑体" w:eastAsia="黑体" w:cs="黑体"/>
                <w:kern w:val="0"/>
                <w:sz w:val="28"/>
                <w:szCs w:val="28"/>
              </w:rPr>
              <w:t>项目类型</w:t>
            </w:r>
          </w:p>
        </w:tc>
        <w:tc>
          <w:tcPr>
            <w:tcW w:w="2557" w:type="dxa"/>
            <w:vAlign w:val="center"/>
          </w:tcPr>
          <w:p>
            <w:pPr>
              <w:pStyle w:val="11"/>
              <w:adjustRightInd w:val="0"/>
              <w:snapToGrid w:val="0"/>
              <w:spacing w:line="600" w:lineRule="exact"/>
              <w:jc w:val="center"/>
              <w:rPr>
                <w:rFonts w:ascii="黑体" w:hAnsi="黑体" w:eastAsia="黑体" w:cs="黑体"/>
                <w:kern w:val="0"/>
                <w:sz w:val="28"/>
                <w:szCs w:val="28"/>
              </w:rPr>
            </w:pPr>
            <w:r>
              <w:rPr>
                <w:rFonts w:ascii="黑体" w:hAnsi="黑体" w:eastAsia="黑体" w:cs="黑体"/>
                <w:kern w:val="0"/>
                <w:sz w:val="28"/>
                <w:szCs w:val="28"/>
              </w:rPr>
              <w:t>项目分组</w:t>
            </w:r>
          </w:p>
        </w:tc>
        <w:tc>
          <w:tcPr>
            <w:tcW w:w="1981" w:type="dxa"/>
            <w:vAlign w:val="center"/>
          </w:tcPr>
          <w:p>
            <w:pPr>
              <w:pStyle w:val="11"/>
              <w:adjustRightInd w:val="0"/>
              <w:snapToGrid w:val="0"/>
              <w:spacing w:line="600" w:lineRule="exact"/>
              <w:jc w:val="center"/>
              <w:rPr>
                <w:rFonts w:ascii="黑体" w:hAnsi="黑体" w:eastAsia="黑体" w:cs="黑体"/>
                <w:kern w:val="0"/>
                <w:sz w:val="28"/>
                <w:szCs w:val="28"/>
              </w:rPr>
            </w:pPr>
            <w:r>
              <w:rPr>
                <w:rFonts w:hint="eastAsia" w:ascii="黑体" w:hAnsi="黑体" w:eastAsia="黑体" w:cs="黑体"/>
                <w:kern w:val="0"/>
                <w:sz w:val="28"/>
                <w:szCs w:val="28"/>
              </w:rPr>
              <w:t>团队负责人</w:t>
            </w:r>
          </w:p>
        </w:tc>
        <w:tc>
          <w:tcPr>
            <w:tcW w:w="2430" w:type="dxa"/>
            <w:vAlign w:val="center"/>
          </w:tcPr>
          <w:p>
            <w:pPr>
              <w:pStyle w:val="11"/>
              <w:adjustRightInd w:val="0"/>
              <w:snapToGrid w:val="0"/>
              <w:spacing w:line="600" w:lineRule="exact"/>
              <w:jc w:val="center"/>
              <w:rPr>
                <w:rFonts w:ascii="黑体" w:hAnsi="黑体" w:eastAsia="黑体" w:cs="黑体"/>
                <w:kern w:val="0"/>
                <w:sz w:val="28"/>
                <w:szCs w:val="28"/>
              </w:rPr>
            </w:pPr>
            <w:r>
              <w:rPr>
                <w:rFonts w:hint="eastAsia" w:ascii="黑体" w:hAnsi="黑体" w:eastAsia="黑体" w:cs="黑体"/>
                <w:kern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040"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557"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1981" w:type="dxa"/>
            <w:vAlign w:val="center"/>
          </w:tcPr>
          <w:p>
            <w:pPr>
              <w:pStyle w:val="11"/>
              <w:adjustRightInd w:val="0"/>
              <w:snapToGrid w:val="0"/>
              <w:spacing w:line="600" w:lineRule="exact"/>
              <w:jc w:val="center"/>
              <w:rPr>
                <w:rFonts w:ascii="仿宋_GB2312" w:hAnsi="仿宋_GB2312" w:cs="仿宋_GB2312"/>
                <w:kern w:val="0"/>
                <w:sz w:val="28"/>
                <w:szCs w:val="28"/>
              </w:rPr>
            </w:pPr>
          </w:p>
        </w:tc>
        <w:tc>
          <w:tcPr>
            <w:tcW w:w="2430" w:type="dxa"/>
            <w:vAlign w:val="center"/>
          </w:tcPr>
          <w:p>
            <w:pPr>
              <w:pStyle w:val="11"/>
              <w:adjustRightInd w:val="0"/>
              <w:snapToGrid w:val="0"/>
              <w:spacing w:line="600" w:lineRule="exact"/>
              <w:jc w:val="center"/>
              <w:rPr>
                <w:rFonts w:ascii="仿宋_GB2312" w:hAnsi="仿宋_GB2312" w:cs="仿宋_GB2312"/>
                <w:kern w:val="0"/>
                <w:sz w:val="28"/>
                <w:szCs w:val="28"/>
              </w:rPr>
            </w:pPr>
          </w:p>
        </w:tc>
      </w:tr>
    </w:tbl>
    <w:p>
      <w:pPr>
        <w:adjustRightInd w:val="0"/>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adjustRightInd w:val="0"/>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1.项目类型、</w:t>
      </w:r>
      <w:r>
        <w:rPr>
          <w:rFonts w:ascii="仿宋_GB2312" w:hAnsi="仿宋_GB2312" w:eastAsia="仿宋_GB2312" w:cs="仿宋_GB2312"/>
          <w:sz w:val="28"/>
          <w:szCs w:val="28"/>
        </w:rPr>
        <w:t>项目分组</w:t>
      </w:r>
      <w:r>
        <w:rPr>
          <w:rFonts w:hint="eastAsia" w:ascii="仿宋_GB2312" w:hAnsi="仿宋_GB2312" w:eastAsia="仿宋_GB2312" w:cs="仿宋_GB2312"/>
          <w:sz w:val="28"/>
          <w:szCs w:val="28"/>
        </w:rPr>
        <w:t>填写代码；</w:t>
      </w:r>
    </w:p>
    <w:p>
      <w:pPr>
        <w:adjustRightInd w:val="0"/>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2.请将本表盖章版的PDF扫描件于8月5日前报送至组委会办公室；</w:t>
      </w:r>
    </w:p>
    <w:p>
      <w:pPr>
        <w:adjustRightInd w:val="0"/>
        <w:snapToGrid w:val="0"/>
        <w:spacing w:line="44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rPr>
        <w:t>3.参赛项目请按照推荐顺序排序。</w:t>
      </w:r>
    </w:p>
    <w:sectPr>
      <w:pgSz w:w="16838" w:h="11906" w:orient="landscape"/>
      <w:pgMar w:top="1587" w:right="2098" w:bottom="1474" w:left="1984"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roman"/>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Calibri Light">
    <w:panose1 w:val="020F0302020204030204"/>
    <w:charset w:val="00"/>
    <w:family w:val="roman"/>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674370">
    <w:nsid w:val="5EFD8A82"/>
    <w:multiLevelType w:val="singleLevel"/>
    <w:tmpl w:val="5EFD8A82"/>
    <w:lvl w:ilvl="0" w:tentative="1">
      <w:start w:val="1"/>
      <w:numFmt w:val="decimal"/>
      <w:suff w:val="nothing"/>
      <w:lvlText w:val="（%1）"/>
      <w:lvlJc w:val="left"/>
    </w:lvl>
  </w:abstractNum>
  <w:abstractNum w:abstractNumId="1593673215">
    <w:nsid w:val="5EFD85FF"/>
    <w:multiLevelType w:val="singleLevel"/>
    <w:tmpl w:val="5EFD85FF"/>
    <w:lvl w:ilvl="0" w:tentative="1">
      <w:start w:val="1"/>
      <w:numFmt w:val="decimal"/>
      <w:suff w:val="nothing"/>
      <w:lvlText w:val="%1."/>
      <w:lvlJc w:val="left"/>
    </w:lvl>
  </w:abstractNum>
  <w:abstractNum w:abstractNumId="1593674438">
    <w:nsid w:val="5EFD8AC6"/>
    <w:multiLevelType w:val="singleLevel"/>
    <w:tmpl w:val="5EFD8AC6"/>
    <w:lvl w:ilvl="0" w:tentative="1">
      <w:start w:val="4"/>
      <w:numFmt w:val="decimal"/>
      <w:suff w:val="nothing"/>
      <w:lvlText w:val="%1."/>
      <w:lvlJc w:val="left"/>
    </w:lvl>
  </w:abstractNum>
  <w:abstractNum w:abstractNumId="1593674495">
    <w:nsid w:val="5EFD8AFF"/>
    <w:multiLevelType w:val="singleLevel"/>
    <w:tmpl w:val="5EFD8AFF"/>
    <w:lvl w:ilvl="0" w:tentative="1">
      <w:start w:val="1"/>
      <w:numFmt w:val="decimal"/>
      <w:suff w:val="nothing"/>
      <w:lvlText w:val="（%1）"/>
      <w:lvlJc w:val="left"/>
    </w:lvl>
  </w:abstractNum>
  <w:abstractNum w:abstractNumId="1593674738">
    <w:nsid w:val="5EFD8BF2"/>
    <w:multiLevelType w:val="singleLevel"/>
    <w:tmpl w:val="5EFD8BF2"/>
    <w:lvl w:ilvl="0" w:tentative="1">
      <w:start w:val="6"/>
      <w:numFmt w:val="decimal"/>
      <w:suff w:val="nothing"/>
      <w:lvlText w:val="%1."/>
      <w:lvlJc w:val="left"/>
    </w:lvl>
  </w:abstractNum>
  <w:num w:numId="1">
    <w:abstractNumId w:val="1593673215"/>
  </w:num>
  <w:num w:numId="2">
    <w:abstractNumId w:val="1593674370"/>
  </w:num>
  <w:num w:numId="3">
    <w:abstractNumId w:val="1593674438"/>
  </w:num>
  <w:num w:numId="4">
    <w:abstractNumId w:val="1593674495"/>
  </w:num>
  <w:num w:numId="5">
    <w:abstractNumId w:val="15936747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E2E59"/>
    <w:rsid w:val="00017ED5"/>
    <w:rsid w:val="000539DF"/>
    <w:rsid w:val="000539E1"/>
    <w:rsid w:val="000606B1"/>
    <w:rsid w:val="000C2680"/>
    <w:rsid w:val="000E22FB"/>
    <w:rsid w:val="00112B21"/>
    <w:rsid w:val="00140DF2"/>
    <w:rsid w:val="001B27B0"/>
    <w:rsid w:val="001D7255"/>
    <w:rsid w:val="002354A9"/>
    <w:rsid w:val="002371AB"/>
    <w:rsid w:val="002621FA"/>
    <w:rsid w:val="002747F2"/>
    <w:rsid w:val="002E29E3"/>
    <w:rsid w:val="003345F4"/>
    <w:rsid w:val="00341EFD"/>
    <w:rsid w:val="0036715F"/>
    <w:rsid w:val="003769E3"/>
    <w:rsid w:val="00377975"/>
    <w:rsid w:val="0038671B"/>
    <w:rsid w:val="003967DA"/>
    <w:rsid w:val="003C42CB"/>
    <w:rsid w:val="003E311C"/>
    <w:rsid w:val="00414D39"/>
    <w:rsid w:val="00416200"/>
    <w:rsid w:val="00477F45"/>
    <w:rsid w:val="00485B55"/>
    <w:rsid w:val="00487C9D"/>
    <w:rsid w:val="004B7D3C"/>
    <w:rsid w:val="00560FB6"/>
    <w:rsid w:val="00575A48"/>
    <w:rsid w:val="00576F97"/>
    <w:rsid w:val="005A2305"/>
    <w:rsid w:val="005A5536"/>
    <w:rsid w:val="005C78A7"/>
    <w:rsid w:val="00623789"/>
    <w:rsid w:val="00651838"/>
    <w:rsid w:val="0067638D"/>
    <w:rsid w:val="006A0672"/>
    <w:rsid w:val="006A3789"/>
    <w:rsid w:val="006C1F1E"/>
    <w:rsid w:val="0073428B"/>
    <w:rsid w:val="00735CCE"/>
    <w:rsid w:val="00743928"/>
    <w:rsid w:val="00755D52"/>
    <w:rsid w:val="00762CCC"/>
    <w:rsid w:val="00764304"/>
    <w:rsid w:val="007B2E73"/>
    <w:rsid w:val="007B632A"/>
    <w:rsid w:val="007D3E3F"/>
    <w:rsid w:val="007E5EF1"/>
    <w:rsid w:val="007F26AB"/>
    <w:rsid w:val="008136E5"/>
    <w:rsid w:val="00816287"/>
    <w:rsid w:val="008648C2"/>
    <w:rsid w:val="008B7761"/>
    <w:rsid w:val="00962FF1"/>
    <w:rsid w:val="009A4FB0"/>
    <w:rsid w:val="009A5644"/>
    <w:rsid w:val="00A070B4"/>
    <w:rsid w:val="00A60DA2"/>
    <w:rsid w:val="00A73E42"/>
    <w:rsid w:val="00AC372F"/>
    <w:rsid w:val="00AD6C9E"/>
    <w:rsid w:val="00B1081D"/>
    <w:rsid w:val="00B1489C"/>
    <w:rsid w:val="00B615D9"/>
    <w:rsid w:val="00B727FA"/>
    <w:rsid w:val="00C46DBC"/>
    <w:rsid w:val="00CE4B56"/>
    <w:rsid w:val="00CF2B1E"/>
    <w:rsid w:val="00D11491"/>
    <w:rsid w:val="00DA2D4C"/>
    <w:rsid w:val="00DF5BF1"/>
    <w:rsid w:val="00E93AFC"/>
    <w:rsid w:val="00EC07D4"/>
    <w:rsid w:val="00EE39DE"/>
    <w:rsid w:val="00F93A7A"/>
    <w:rsid w:val="01762172"/>
    <w:rsid w:val="03D71CDD"/>
    <w:rsid w:val="05DD6BAF"/>
    <w:rsid w:val="060C123F"/>
    <w:rsid w:val="062F3136"/>
    <w:rsid w:val="075E0BEC"/>
    <w:rsid w:val="0D0E343F"/>
    <w:rsid w:val="10560F5C"/>
    <w:rsid w:val="121D5045"/>
    <w:rsid w:val="12252451"/>
    <w:rsid w:val="122946DB"/>
    <w:rsid w:val="13A46A0D"/>
    <w:rsid w:val="14355816"/>
    <w:rsid w:val="15AE08E8"/>
    <w:rsid w:val="18000F6D"/>
    <w:rsid w:val="1C8A4228"/>
    <w:rsid w:val="1EF736D9"/>
    <w:rsid w:val="20A74844"/>
    <w:rsid w:val="21590CC5"/>
    <w:rsid w:val="234C77BF"/>
    <w:rsid w:val="293956CC"/>
    <w:rsid w:val="2CA3710B"/>
    <w:rsid w:val="2CD33F1A"/>
    <w:rsid w:val="2F782BCE"/>
    <w:rsid w:val="3168491E"/>
    <w:rsid w:val="32755D55"/>
    <w:rsid w:val="33FD4676"/>
    <w:rsid w:val="356C667A"/>
    <w:rsid w:val="36625046"/>
    <w:rsid w:val="39542E1A"/>
    <w:rsid w:val="3C4F72FF"/>
    <w:rsid w:val="3D1075E3"/>
    <w:rsid w:val="3E592BD7"/>
    <w:rsid w:val="40720CC9"/>
    <w:rsid w:val="415128B5"/>
    <w:rsid w:val="41C815FA"/>
    <w:rsid w:val="45826E17"/>
    <w:rsid w:val="48DB3696"/>
    <w:rsid w:val="4AB61CA3"/>
    <w:rsid w:val="4BD94DDE"/>
    <w:rsid w:val="4D9013AF"/>
    <w:rsid w:val="5248208F"/>
    <w:rsid w:val="529C7A57"/>
    <w:rsid w:val="547E1CAE"/>
    <w:rsid w:val="566E4E99"/>
    <w:rsid w:val="57952240"/>
    <w:rsid w:val="58183713"/>
    <w:rsid w:val="5F053371"/>
    <w:rsid w:val="63837E90"/>
    <w:rsid w:val="68A04E37"/>
    <w:rsid w:val="68EE79DF"/>
    <w:rsid w:val="6B085226"/>
    <w:rsid w:val="72326EE7"/>
    <w:rsid w:val="730A0CFE"/>
    <w:rsid w:val="757E664F"/>
    <w:rsid w:val="782976C4"/>
    <w:rsid w:val="787942F6"/>
    <w:rsid w:val="7B3926B8"/>
    <w:rsid w:val="7BD5317E"/>
    <w:rsid w:val="7D6464C5"/>
    <w:rsid w:val="7E4E2E59"/>
    <w:rsid w:val="7F117E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10"/>
    <w:pPr>
      <w:jc w:val="center"/>
      <w:outlineLvl w:val="0"/>
    </w:pPr>
    <w:rPr>
      <w:rFonts w:ascii="方正大标宋简体" w:hAnsi="方正大标宋简体" w:eastAsia="方正大标宋简体"/>
      <w:bCs/>
      <w:sz w:val="44"/>
      <w:szCs w:val="32"/>
    </w:rPr>
  </w:style>
  <w:style w:type="character" w:styleId="7">
    <w:name w:val="Strong"/>
    <w:qFormat/>
    <w:uiPriority w:val="0"/>
    <w:rPr>
      <w:rFonts w:cs="Times New Roman"/>
      <w:b/>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1">
    <w:name w:val="_Style 4"/>
    <w:qFormat/>
    <w:uiPriority w:val="0"/>
    <w:pPr>
      <w:widowControl w:val="0"/>
      <w:jc w:val="both"/>
    </w:pPr>
    <w:rPr>
      <w:rFonts w:ascii="Times New Roman" w:hAnsi="Times New Roman" w:eastAsia="仿宋_GB2312" w:cs="Times New Roman"/>
      <w:kern w:val="2"/>
      <w:sz w:val="34"/>
      <w:szCs w:val="24"/>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1752</Words>
  <Characters>9993</Characters>
  <Lines>83</Lines>
  <Paragraphs>23</Paragraphs>
  <ScaleCrop>false</ScaleCrop>
  <LinksUpToDate>false</LinksUpToDate>
  <CharactersWithSpaces>11722</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2020-06-02T07:12:00Z</dcterms:created>
  <dc:creator>Administrator</dc:creator>
  <cp:lastModifiedBy>Administrator</cp:lastModifiedBy>
  <dcterms:modified xsi:type="dcterms:W3CDTF">2020-07-07T08:16:21Z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